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65EB73E1">
      <w:pPr>
        <w:tabs>
          <w:tab w:val="left" w:pos="315"/>
          <w:tab w:val="left" w:pos="8820"/>
        </w:tabs>
        <w:spacing w:line="500" w:lineRule="exact"/>
        <w:ind w:right="267" w:rightChars="127"/>
        <w:jc w:val="center"/>
        <w:rPr>
          <w:rFonts w:ascii="微软简标宋" w:eastAsia="黑体"/>
          <w:b/>
          <w:bCs/>
          <w:sz w:val="52"/>
        </w:rPr>
      </w:pPr>
    </w:p>
    <w:p w14:paraId="6622E18D">
      <w:pPr>
        <w:tabs>
          <w:tab w:val="left" w:pos="315"/>
          <w:tab w:val="left" w:pos="8820"/>
        </w:tabs>
        <w:spacing w:line="600" w:lineRule="exact"/>
        <w:ind w:left="1506" w:right="267" w:rightChars="127" w:hanging="1506" w:hangingChars="500"/>
        <w:jc w:val="left"/>
        <w:rPr>
          <w:rFonts w:ascii="微软简标宋" w:eastAsia="黑体"/>
          <w:b/>
          <w:bCs/>
          <w:sz w:val="30"/>
          <w:szCs w:val="30"/>
        </w:rPr>
      </w:pPr>
      <w:r>
        <w:rPr>
          <w:rFonts w:hint="eastAsia" w:ascii="微软简标宋" w:eastAsia="黑体"/>
          <w:b/>
          <w:bCs/>
          <w:sz w:val="30"/>
          <w:szCs w:val="30"/>
        </w:rPr>
        <w:t xml:space="preserve">项目名称: </w:t>
      </w:r>
      <w:r>
        <w:rPr>
          <w:rFonts w:hint="eastAsia" w:ascii="微软简标宋" w:eastAsia="黑体"/>
          <w:b/>
          <w:bCs/>
          <w:sz w:val="30"/>
          <w:szCs w:val="30"/>
          <w:lang w:val="en-US" w:eastAsia="zh-CN"/>
        </w:rPr>
        <w:t>项城市交通运输局项城港口物流园区专用铁路可行性研究报告项目</w:t>
      </w:r>
    </w:p>
    <w:p w14:paraId="6333CAA4">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项财磋商采购-2026-27</w:t>
      </w:r>
    </w:p>
    <w:p w14:paraId="54F1EF69">
      <w:pPr>
        <w:pStyle w:val="8"/>
        <w:rPr>
          <w:rFonts w:ascii="微软简标宋" w:eastAsia="黑体"/>
          <w:b/>
          <w:bCs/>
          <w:sz w:val="52"/>
          <w:szCs w:val="24"/>
        </w:rPr>
      </w:pPr>
    </w:p>
    <w:p w14:paraId="607A7652">
      <w:pPr>
        <w:pStyle w:val="8"/>
        <w:rPr>
          <w:rFonts w:ascii="宋体" w:hAnsi="宋体"/>
          <w:b/>
          <w:sz w:val="32"/>
        </w:rPr>
      </w:pPr>
    </w:p>
    <w:p w14:paraId="551A0633">
      <w:pPr>
        <w:pStyle w:val="8"/>
        <w:rPr>
          <w:rFonts w:ascii="宋体" w:hAnsi="宋体"/>
          <w:b/>
          <w:sz w:val="32"/>
        </w:rPr>
      </w:pPr>
    </w:p>
    <w:p w14:paraId="626CA745">
      <w:pPr>
        <w:pStyle w:val="8"/>
        <w:jc w:val="center"/>
        <w:rPr>
          <w:rFonts w:hint="eastAsia" w:ascii="宋体" w:hAnsi="宋体"/>
          <w:b/>
          <w:sz w:val="32"/>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5</w:t>
      </w:r>
      <w:r>
        <w:rPr>
          <w:rFonts w:hint="eastAsia" w:ascii="宋体" w:hAnsi="宋体"/>
          <w:b/>
          <w:sz w:val="32"/>
        </w:rPr>
        <w:t>月</w:t>
      </w:r>
      <w:r>
        <w:rPr>
          <w:rFonts w:hint="eastAsia" w:ascii="宋体" w:hAnsi="宋体"/>
          <w:b/>
          <w:sz w:val="32"/>
          <w:lang w:val="en-US" w:eastAsia="zh-CN"/>
        </w:rPr>
        <w:t>19</w:t>
      </w:r>
      <w:r>
        <w:rPr>
          <w:rFonts w:hint="eastAsia" w:ascii="宋体" w:hAnsi="宋体"/>
          <w:b/>
          <w:sz w:val="32"/>
        </w:rPr>
        <w:t>日</w:t>
      </w:r>
    </w:p>
    <w:p w14:paraId="7D59EC9C">
      <w:pPr>
        <w:pStyle w:val="8"/>
        <w:jc w:val="center"/>
        <w:rPr>
          <w:rFonts w:ascii="宋体" w:hAnsi="宋体"/>
          <w:b/>
          <w:sz w:val="32"/>
        </w:rPr>
      </w:pPr>
    </w:p>
    <w:p w14:paraId="7DD7281C">
      <w:pPr>
        <w:rPr>
          <w:rFonts w:ascii="仿宋_GB2312" w:eastAsia="仿宋_GB2312"/>
          <w:b/>
          <w:sz w:val="30"/>
          <w:szCs w:val="30"/>
        </w:rPr>
      </w:pPr>
    </w:p>
    <w:p w14:paraId="03901428">
      <w:pPr>
        <w:spacing w:line="560" w:lineRule="exact"/>
        <w:jc w:val="center"/>
        <w:rPr>
          <w:rFonts w:ascii="宋体" w:hAnsi="宋体" w:cs="宋体"/>
          <w:b/>
          <w:sz w:val="44"/>
          <w:szCs w:val="44"/>
        </w:rPr>
      </w:pPr>
      <w:r>
        <w:rPr>
          <w:rFonts w:hint="eastAsia" w:ascii="宋体" w:hAnsi="宋体" w:cs="宋体"/>
          <w:b/>
          <w:sz w:val="44"/>
          <w:szCs w:val="44"/>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hint="eastAsia" w:ascii="宋体" w:hAnsi="宋体" w:eastAsia="宋体" w:cs="宋体"/>
          <w:b/>
          <w:sz w:val="32"/>
          <w:szCs w:val="32"/>
          <w:lang w:eastAsia="zh-CN"/>
        </w:rPr>
      </w:pPr>
      <w:r>
        <w:rPr>
          <w:rFonts w:hint="eastAsia" w:ascii="宋体" w:hAnsi="宋体" w:cs="宋体"/>
          <w:b/>
          <w:sz w:val="32"/>
          <w:szCs w:val="32"/>
        </w:rPr>
        <w:t>第三章  采购项目内容及要求..........................2</w:t>
      </w:r>
      <w:r>
        <w:rPr>
          <w:rFonts w:hint="eastAsia" w:ascii="宋体" w:hAnsi="宋体" w:cs="宋体"/>
          <w:b/>
          <w:sz w:val="32"/>
          <w:szCs w:val="32"/>
          <w:lang w:val="en-US" w:eastAsia="zh-CN"/>
        </w:rPr>
        <w:t>5</w:t>
      </w:r>
    </w:p>
    <w:p w14:paraId="4924000D">
      <w:pPr>
        <w:spacing w:line="800" w:lineRule="exact"/>
        <w:rPr>
          <w:rFonts w:hint="eastAsia" w:ascii="宋体" w:hAnsi="宋体" w:eastAsia="宋体" w:cs="宋体"/>
          <w:b/>
          <w:sz w:val="32"/>
          <w:szCs w:val="32"/>
          <w:lang w:eastAsia="zh-CN"/>
        </w:rPr>
      </w:pPr>
      <w:r>
        <w:rPr>
          <w:rFonts w:hint="eastAsia" w:ascii="宋体" w:hAnsi="宋体" w:cs="宋体"/>
          <w:b/>
          <w:sz w:val="32"/>
          <w:szCs w:val="32"/>
        </w:rPr>
        <w:t>第四章  响应性文件内容及格式........................2</w:t>
      </w:r>
      <w:r>
        <w:rPr>
          <w:rFonts w:hint="eastAsia" w:ascii="宋体" w:hAnsi="宋体" w:cs="宋体"/>
          <w:b/>
          <w:sz w:val="32"/>
          <w:szCs w:val="32"/>
          <w:lang w:val="en-US" w:eastAsia="zh-CN"/>
        </w:rPr>
        <w:t>6</w:t>
      </w:r>
    </w:p>
    <w:p w14:paraId="0522D016">
      <w:pPr>
        <w:spacing w:line="800" w:lineRule="exact"/>
        <w:rPr>
          <w:rFonts w:hint="eastAsia" w:ascii="宋体" w:hAnsi="宋体" w:eastAsia="宋体" w:cs="宋体"/>
          <w:b/>
          <w:sz w:val="32"/>
          <w:szCs w:val="32"/>
          <w:lang w:eastAsia="zh-CN"/>
        </w:rPr>
      </w:pPr>
      <w:r>
        <w:rPr>
          <w:rFonts w:hint="eastAsia" w:ascii="宋体" w:hAnsi="宋体" w:cs="宋体"/>
          <w:b/>
          <w:sz w:val="32"/>
          <w:szCs w:val="32"/>
        </w:rPr>
        <w:t>第五章  合同主要条款 合同签订指引、供应商履约验收指引3</w:t>
      </w:r>
      <w:r>
        <w:rPr>
          <w:rFonts w:hint="eastAsia" w:ascii="宋体" w:hAnsi="宋体" w:cs="宋体"/>
          <w:b/>
          <w:sz w:val="32"/>
          <w:szCs w:val="32"/>
          <w:lang w:val="en-US" w:eastAsia="zh-CN"/>
        </w:rPr>
        <w:t>9</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11735EEC">
      <w:pPr>
        <w:jc w:val="cente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eastAsia="宋体" w:cs="宋体"/>
          <w:sz w:val="24"/>
          <w:lang w:val="en-US" w:eastAsia="zh-CN"/>
        </w:rPr>
        <w:t>项城市交通运输局项城港口物流园区专用铁路可行性研究报告项目</w:t>
      </w:r>
      <w:r>
        <w:rPr>
          <w:rFonts w:hint="eastAsia" w:ascii="宋体" w:hAnsi="宋体" w:eastAsia="宋体" w:cs="宋体"/>
          <w:sz w:val="24"/>
        </w:rPr>
        <w:t>的潜在投标人应在周口市公共资源交易中心网</w:t>
      </w:r>
      <w:r>
        <w:rPr>
          <w:rFonts w:hint="eastAsia" w:ascii="宋体" w:hAnsi="宋体" w:cs="宋体"/>
          <w:sz w:val="24"/>
        </w:rPr>
        <w:t>（http://jyzx.zhoukou.gov.cn）获取招标文件，并于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1</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3"/>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89"/>
      <w:bookmarkStart w:id="2" w:name="_Toc28359012"/>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left="1679" w:leftChars="228" w:hanging="1200" w:hangingChars="5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宋体" w:hAnsi="宋体" w:eastAsia="宋体" w:cs="宋体"/>
          <w:sz w:val="24"/>
          <w:lang w:val="en-US" w:eastAsia="zh-CN"/>
        </w:rPr>
        <w:t>项财磋商采购-2026-27</w:t>
      </w:r>
    </w:p>
    <w:p w14:paraId="18033931">
      <w:pPr>
        <w:autoSpaceDE w:val="0"/>
        <w:autoSpaceDN w:val="0"/>
        <w:spacing w:line="360" w:lineRule="auto"/>
        <w:ind w:firstLine="480" w:firstLineChars="200"/>
        <w:rPr>
          <w:rFonts w:hint="default" w:asciiTheme="minorEastAsia" w:hAnsiTheme="minorEastAsia" w:eastAsiaTheme="minorEastAsia" w:cstheme="minorEastAsia"/>
          <w:sz w:val="24"/>
          <w:u w:val="single"/>
          <w:lang w:val="en-US"/>
        </w:rPr>
      </w:pPr>
      <w:r>
        <w:rPr>
          <w:rFonts w:hint="eastAsia" w:asciiTheme="minorEastAsia" w:hAnsiTheme="minorEastAsia" w:eastAsiaTheme="minorEastAsia" w:cstheme="minorEastAsia"/>
          <w:sz w:val="24"/>
        </w:rPr>
        <w:t>项目名称：</w:t>
      </w:r>
      <w:r>
        <w:rPr>
          <w:rFonts w:hint="eastAsia" w:ascii="宋体" w:hAnsi="宋体" w:eastAsia="宋体" w:cs="宋体"/>
          <w:sz w:val="24"/>
          <w:lang w:val="en-US" w:eastAsia="zh-CN"/>
        </w:rPr>
        <w:t>项城市交通运输局项城港口物流园区专用铁路可行性研究报告项目</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150万元</w:t>
      </w:r>
    </w:p>
    <w:p w14:paraId="7B9DF9DA">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5760"/>
        <w:gridCol w:w="2328"/>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6870A8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760" w:type="dxa"/>
            <w:vAlign w:val="center"/>
          </w:tcPr>
          <w:p w14:paraId="35AB6E3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328" w:type="dxa"/>
            <w:vAlign w:val="center"/>
          </w:tcPr>
          <w:p w14:paraId="0CAF8B4C">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38" w:type="dxa"/>
            <w:vAlign w:val="center"/>
          </w:tcPr>
          <w:p w14:paraId="4CCCE339">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760" w:type="dxa"/>
            <w:vAlign w:val="center"/>
          </w:tcPr>
          <w:p w14:paraId="6B35CF7B">
            <w:pPr>
              <w:adjustRightInd w:val="0"/>
              <w:snapToGrid w:val="0"/>
              <w:spacing w:line="360" w:lineRule="auto"/>
              <w:jc w:val="center"/>
            </w:pPr>
            <w:r>
              <w:rPr>
                <w:rFonts w:hint="eastAsia" w:ascii="宋体" w:hAnsi="宋体" w:eastAsia="宋体" w:cs="宋体"/>
                <w:sz w:val="24"/>
                <w:lang w:val="en-US" w:eastAsia="zh-CN"/>
              </w:rPr>
              <w:t>项城市交通运输局项城港口物流园区专用铁路可行性研究报告项目</w:t>
            </w:r>
          </w:p>
        </w:tc>
        <w:tc>
          <w:tcPr>
            <w:tcW w:w="2328" w:type="dxa"/>
            <w:vAlign w:val="center"/>
          </w:tcPr>
          <w:p w14:paraId="0A65905B">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cstheme="minorEastAsia"/>
                <w:sz w:val="24"/>
                <w:lang w:val="en-US" w:eastAsia="zh-CN"/>
              </w:rPr>
              <w:t>150</w:t>
            </w:r>
          </w:p>
        </w:tc>
      </w:tr>
    </w:tbl>
    <w:p w14:paraId="77EF3003">
      <w:pPr>
        <w:autoSpaceDE w:val="0"/>
        <w:autoSpaceDN w:val="0"/>
        <w:spacing w:line="360" w:lineRule="auto"/>
        <w:ind w:firstLine="480" w:firstLineChars="200"/>
        <w:rPr>
          <w:rFonts w:hint="default"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宋体" w:hAnsi="宋体" w:eastAsia="宋体" w:cs="宋体"/>
          <w:sz w:val="24"/>
          <w:lang w:val="en-US" w:eastAsia="zh-CN"/>
        </w:rPr>
        <w:t>项城港口物流园区专用铁路可行性研究报告</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详见第三章</w:t>
      </w:r>
    </w:p>
    <w:p w14:paraId="2E11CC24">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30天</w:t>
      </w:r>
    </w:p>
    <w:p w14:paraId="7BD14E07">
      <w:pPr>
        <w:spacing w:line="360" w:lineRule="auto"/>
        <w:ind w:firstLine="480" w:firstLineChars="200"/>
        <w:jc w:val="left"/>
        <w:rPr>
          <w:rFonts w:ascii="宋体" w:hAnsi="宋体" w:cs="宋体"/>
          <w:sz w:val="24"/>
        </w:rPr>
      </w:pPr>
      <w:bookmarkStart w:id="4" w:name="_Toc28359013"/>
      <w:bookmarkStart w:id="5" w:name="_Toc35393630"/>
      <w:bookmarkStart w:id="6" w:name="_Toc35393799"/>
      <w:bookmarkStart w:id="7" w:name="_Toc28359090"/>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w:t>
      </w:r>
      <w:r>
        <w:rPr>
          <w:rFonts w:hint="eastAsia" w:ascii="宋体" w:hAnsi="宋体" w:cs="宋体"/>
          <w:sz w:val="24"/>
          <w:lang w:val="en-US" w:eastAsia="zh-CN"/>
        </w:rPr>
        <w:t>否</w:t>
      </w:r>
      <w:r>
        <w:rPr>
          <w:rFonts w:hint="eastAsia" w:ascii="宋体" w:hAnsi="宋体" w:cs="宋体"/>
          <w:sz w:val="24"/>
        </w:rPr>
        <w:t>。</w:t>
      </w:r>
    </w:p>
    <w:p w14:paraId="0CBC770F">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w:t>
      </w:r>
      <w:r>
        <w:rPr>
          <w:rFonts w:hint="eastAsia" w:ascii="宋体" w:hAnsi="宋体" w:cs="宋体"/>
          <w:sz w:val="24"/>
          <w:lang w:eastAsia="zh-CN"/>
        </w:rPr>
        <w:t>、</w:t>
      </w:r>
      <w:r>
        <w:rPr>
          <w:rFonts w:hint="eastAsia" w:ascii="宋体" w:hAnsi="宋体" w:cs="宋体"/>
          <w:sz w:val="24"/>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eastAsia="宋体" w:cs="宋体"/>
          <w:i w:val="0"/>
          <w:iCs w:val="0"/>
          <w:sz w:val="24"/>
          <w:szCs w:val="24"/>
        </w:rPr>
        <w:t>供应商及法定代表人</w:t>
      </w:r>
      <w:r>
        <w:rPr>
          <w:rFonts w:hint="eastAsia" w:ascii="宋体" w:hAnsi="宋体" w:cs="宋体"/>
          <w:sz w:val="24"/>
        </w:rPr>
        <w:t>网页查询扫描件，查询日期为公告发布之日起至投标截止之日止。</w:t>
      </w:r>
    </w:p>
    <w:p w14:paraId="266655B2">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 xml:space="preserve"> 供应商须具备以下资质之一（提供有效期内证书扫描件并加盖单位公章，原件备查）：1）工程咨询单位甲级资信（专业资信：铁路、城市轨道交通）；2）工程设计行业资质（铁道行业甲级及以上资质）；3）工程设计专业资质（铁道行业・线路甲级、站场甲级、桥梁甲级）。 拟派本项目负责人须同时满足：1）具备铁路相关专业工程师职称；2）近 3 年（自磋商公告发布之日起倒算）主持过至少 1 项铁路专用线 /地方铁路可行性研究或勘察设计项目。</w:t>
      </w:r>
    </w:p>
    <w:p w14:paraId="25ABF4FD">
      <w:pPr>
        <w:pStyle w:val="3"/>
        <w:autoSpaceDE w:val="0"/>
        <w:autoSpaceDN w:val="0"/>
        <w:spacing w:line="360" w:lineRule="auto"/>
        <w:jc w:val="left"/>
        <w:rPr>
          <w:rFonts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5</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3"/>
        <w:autoSpaceDE w:val="0"/>
        <w:autoSpaceDN w:val="0"/>
        <w:spacing w:line="360" w:lineRule="auto"/>
        <w:jc w:val="left"/>
        <w:rPr>
          <w:rFonts w:asciiTheme="minorEastAsia" w:hAnsiTheme="minorEastAsia" w:eastAsiaTheme="minorEastAsia" w:cstheme="minorEastAsia"/>
          <w:sz w:val="24"/>
        </w:rPr>
      </w:pPr>
      <w:bookmarkStart w:id="12" w:name="_Toc28359092"/>
      <w:bookmarkStart w:id="13" w:name="_Toc35393801"/>
      <w:bookmarkStart w:id="14" w:name="_Toc28359015"/>
      <w:bookmarkStart w:id="15" w:name="_Toc35393632"/>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pStyle w:val="3"/>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3"/>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35393803"/>
      <w:bookmarkStart w:id="22" w:name="_Toc35393634"/>
      <w:bookmarkStart w:id="23" w:name="_Toc28359094"/>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B5142C6">
      <w:pPr>
        <w:pStyle w:val="3"/>
        <w:autoSpaceDE w:val="0"/>
        <w:autoSpaceDN w:val="0"/>
        <w:spacing w:line="360" w:lineRule="auto"/>
        <w:jc w:val="left"/>
        <w:rPr>
          <w:rFonts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277BA4EF">
      <w:pPr>
        <w:pStyle w:val="3"/>
        <w:autoSpaceDE w:val="0"/>
        <w:autoSpaceDN w:val="0"/>
        <w:spacing w:line="360" w:lineRule="auto"/>
        <w:jc w:val="left"/>
        <w:rPr>
          <w:rFonts w:asciiTheme="minorEastAsia" w:hAnsiTheme="minorEastAsia" w:eastAsiaTheme="minorEastAsia" w:cstheme="minorEastAsia"/>
          <w:sz w:val="24"/>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88B5930">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eastAsia="宋体" w:cs="宋体"/>
          <w:sz w:val="24"/>
          <w:lang w:val="en-US" w:eastAsia="zh-CN"/>
        </w:rPr>
        <w:t>项城市交通运输局</w:t>
      </w:r>
      <w:r>
        <w:rPr>
          <w:rFonts w:hint="eastAsia" w:ascii="宋体" w:hAnsi="宋体" w:cs="宋体"/>
          <w:sz w:val="24"/>
        </w:rPr>
        <w:t>　　　　　　　　　　　　</w:t>
      </w:r>
    </w:p>
    <w:p w14:paraId="74E970E8">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eastAsia="宋体" w:cs="宋体"/>
          <w:sz w:val="24"/>
          <w:lang w:val="en-US" w:eastAsia="zh-CN"/>
        </w:rPr>
        <w:t>项城市</w:t>
      </w:r>
      <w:r>
        <w:rPr>
          <w:rFonts w:hint="eastAsia" w:ascii="宋体" w:hAnsi="宋体" w:cs="宋体"/>
          <w:sz w:val="24"/>
          <w:lang w:val="en-US" w:eastAsia="zh-CN"/>
        </w:rPr>
        <w:t>境内</w:t>
      </w:r>
      <w:r>
        <w:rPr>
          <w:rFonts w:hint="eastAsia" w:ascii="宋体" w:hAnsi="宋体" w:cs="宋体"/>
          <w:sz w:val="24"/>
        </w:rPr>
        <w:t>　　　　　　　　　　　　</w:t>
      </w:r>
    </w:p>
    <w:p w14:paraId="3A9D78C1">
      <w:pPr>
        <w:spacing w:line="360" w:lineRule="auto"/>
        <w:ind w:firstLine="480" w:firstLineChars="200"/>
        <w:jc w:val="left"/>
        <w:rPr>
          <w:rFonts w:ascii="宋体" w:hAnsi="宋体" w:cs="宋体"/>
          <w:sz w:val="24"/>
        </w:rPr>
      </w:pPr>
      <w:r>
        <w:rPr>
          <w:rFonts w:hint="eastAsia" w:ascii="宋体" w:hAnsi="宋体" w:cs="宋体"/>
          <w:sz w:val="24"/>
        </w:rPr>
        <w:t>项目联</w:t>
      </w:r>
      <w:r>
        <w:rPr>
          <w:rFonts w:hint="eastAsia" w:ascii="宋体" w:hAnsi="宋体" w:eastAsia="宋体" w:cs="宋体"/>
          <w:sz w:val="24"/>
          <w:lang w:val="en-US" w:eastAsia="zh-CN"/>
        </w:rPr>
        <w:t>系人：马良飞  联系方式：15890509111　</w:t>
      </w:r>
      <w:r>
        <w:rPr>
          <w:rFonts w:hint="eastAsia" w:ascii="宋体" w:hAnsi="宋体" w:cs="宋体"/>
          <w:sz w:val="24"/>
        </w:rPr>
        <w:t xml:space="preserve">　　　　　　　　　　 </w:t>
      </w:r>
      <w:bookmarkStart w:id="30" w:name="_Toc28359086"/>
      <w:bookmarkStart w:id="31" w:name="_Toc28359009"/>
    </w:p>
    <w:p w14:paraId="462E6359">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CA621FF">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733D95">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3C0E400A">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王园园   </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09BBA158">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项城市财政局</w:t>
      </w:r>
    </w:p>
    <w:p w14:paraId="7E295B0C">
      <w:pPr>
        <w:pStyle w:val="35"/>
        <w:ind w:firstLine="720" w:firstLineChars="300"/>
      </w:pPr>
      <w:r>
        <w:rPr>
          <w:rFonts w:hint="eastAsia" w:ascii="宋体" w:hAnsi="宋体" w:cs="宋体"/>
          <w:sz w:val="24"/>
        </w:rPr>
        <w:t>联系方式：</w:t>
      </w:r>
      <w:r>
        <w:rPr>
          <w:rFonts w:hint="eastAsia" w:ascii="宋体" w:hAnsi="宋体" w:cs="宋体"/>
          <w:sz w:val="24"/>
          <w:lang w:val="en-US" w:eastAsia="zh-CN"/>
        </w:rPr>
        <w:t>0394-4315676</w:t>
      </w:r>
      <w:r>
        <w:rPr>
          <w:rFonts w:hint="eastAsia" w:ascii="宋体" w:hAnsi="宋体" w:cs="宋体"/>
          <w:sz w:val="24"/>
        </w:rPr>
        <w:t xml:space="preserve"> </w:t>
      </w:r>
    </w:p>
    <w:p w14:paraId="1396D067">
      <w:pPr>
        <w:pStyle w:val="35"/>
        <w:ind w:firstLine="0" w:firstLineChars="0"/>
      </w:pPr>
    </w:p>
    <w:p w14:paraId="1BC5A868">
      <w:pPr>
        <w:pStyle w:val="9"/>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22"/>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color w:val="000000"/>
          <w:sz w:val="24"/>
          <w:szCs w:val="24"/>
          <w:lang w:val="en-US" w:eastAsia="zh-CN"/>
        </w:rPr>
        <w:t>5</w:t>
      </w:r>
      <w:r>
        <w:rPr>
          <w:rFonts w:hint="eastAsia" w:ascii="宋体" w:hAnsi="宋体" w:cs="宋体"/>
          <w:sz w:val="24"/>
          <w:szCs w:val="24"/>
        </w:rPr>
        <w:t>月</w:t>
      </w:r>
      <w:r>
        <w:rPr>
          <w:rFonts w:hint="eastAsia" w:ascii="宋体" w:hAnsi="宋体" w:cs="宋体"/>
          <w:sz w:val="24"/>
          <w:szCs w:val="24"/>
          <w:lang w:val="en-US" w:eastAsia="zh-CN"/>
        </w:rPr>
        <w:t>19</w:t>
      </w:r>
      <w:bookmarkStart w:id="38" w:name="_GoBack"/>
      <w:bookmarkEnd w:id="38"/>
      <w:r>
        <w:rPr>
          <w:rFonts w:hint="eastAsia" w:ascii="宋体" w:hAnsi="宋体" w:cs="宋体"/>
          <w:sz w:val="24"/>
          <w:szCs w:val="24"/>
        </w:rPr>
        <w:t>日　　</w:t>
      </w:r>
    </w:p>
    <w:p w14:paraId="3C7A2AFB">
      <w:pPr>
        <w:pStyle w:val="12"/>
        <w:adjustRightInd w:val="0"/>
        <w:snapToGrid w:val="0"/>
        <w:spacing w:line="360" w:lineRule="auto"/>
        <w:ind w:firstLine="0" w:firstLineChars="0"/>
      </w:pPr>
    </w:p>
    <w:p w14:paraId="35CFC5B0">
      <w:pPr>
        <w:pStyle w:val="12"/>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ind w:left="1200" w:hanging="1200" w:hangingChars="500"/>
              <w:rPr>
                <w:rFonts w:ascii="宋体" w:hAnsi="宋体" w:cs="宋体"/>
                <w:color w:val="000000"/>
                <w:sz w:val="24"/>
              </w:rPr>
            </w:pPr>
            <w:r>
              <w:rPr>
                <w:rFonts w:hint="eastAsia" w:ascii="宋体" w:hAnsi="宋体" w:cs="宋体"/>
                <w:color w:val="000000"/>
                <w:sz w:val="24"/>
              </w:rPr>
              <w:t>项目名称：</w:t>
            </w:r>
            <w:r>
              <w:rPr>
                <w:rFonts w:hint="eastAsia" w:ascii="宋体" w:hAnsi="宋体" w:eastAsia="宋体" w:cs="宋体"/>
                <w:sz w:val="24"/>
                <w:lang w:val="en-US" w:eastAsia="zh-CN"/>
              </w:rPr>
              <w:t>项城市交通运输局项城港口物流园区专用铁路可行性研究报告项目</w:t>
            </w:r>
          </w:p>
          <w:p w14:paraId="1B63315E">
            <w:pPr>
              <w:rPr>
                <w:rFonts w:ascii="宋体" w:hAnsi="宋体" w:cs="宋体"/>
                <w:color w:val="000000"/>
                <w:sz w:val="24"/>
              </w:rPr>
            </w:pPr>
            <w:r>
              <w:rPr>
                <w:rFonts w:hint="eastAsia" w:ascii="宋体" w:hAnsi="宋体" w:cs="宋体"/>
                <w:color w:val="000000"/>
                <w:sz w:val="24"/>
              </w:rPr>
              <w:t>采购内容：</w:t>
            </w:r>
            <w:r>
              <w:rPr>
                <w:rFonts w:hint="eastAsia" w:ascii="宋体" w:hAnsi="宋体" w:eastAsia="宋体" w:cs="宋体"/>
                <w:sz w:val="24"/>
                <w:lang w:val="en-US" w:eastAsia="zh-CN"/>
              </w:rPr>
              <w:t>项城港口物流园区专用铁路可行性研究报告</w:t>
            </w:r>
          </w:p>
          <w:p w14:paraId="47699473">
            <w:pPr>
              <w:rPr>
                <w:rFonts w:ascii="宋体" w:hAnsi="宋体" w:cs="宋体"/>
                <w:color w:val="000000"/>
                <w:sz w:val="24"/>
              </w:rPr>
            </w:pPr>
            <w:r>
              <w:rPr>
                <w:rFonts w:hint="eastAsia" w:ascii="宋体" w:hAnsi="宋体" w:cs="宋体"/>
                <w:color w:val="000000"/>
                <w:sz w:val="24"/>
              </w:rPr>
              <w:t>采购人：</w:t>
            </w:r>
            <w:r>
              <w:rPr>
                <w:rFonts w:hint="eastAsia" w:ascii="宋体" w:hAnsi="宋体" w:eastAsia="宋体" w:cs="宋体"/>
                <w:sz w:val="24"/>
                <w:lang w:val="en-US" w:eastAsia="zh-CN"/>
              </w:rPr>
              <w:t>项城市交通运输局</w:t>
            </w:r>
          </w:p>
          <w:p w14:paraId="3870ED8C">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w:t>
            </w:r>
            <w:r>
              <w:rPr>
                <w:rFonts w:hint="eastAsia" w:ascii="宋体" w:hAnsi="宋体" w:cs="宋体"/>
                <w:sz w:val="24"/>
                <w:lang w:val="en-US" w:eastAsia="zh-CN"/>
              </w:rPr>
              <w:t>须保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w:t>
            </w:r>
            <w:r>
              <w:rPr>
                <w:rFonts w:hint="eastAsia" w:ascii="宋体" w:hAnsi="宋体" w:cs="宋体"/>
                <w:sz w:val="24"/>
              </w:rPr>
              <w:t>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w:t>
            </w:r>
            <w:r>
              <w:rPr>
                <w:rFonts w:hint="eastAsia" w:ascii="宋体" w:hAnsi="宋体" w:cs="宋体"/>
                <w:sz w:val="24"/>
                <w:lang w:val="en-US" w:eastAsia="zh-CN"/>
              </w:rPr>
              <w:t>。</w:t>
            </w:r>
            <w:r>
              <w:rPr>
                <w:rFonts w:hint="eastAsia" w:ascii="宋体" w:hAnsi="宋体" w:cs="宋体"/>
                <w:sz w:val="24"/>
              </w:rPr>
              <w:t>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hint="default" w:ascii="宋体" w:hAnsi="宋体" w:eastAsia="宋体" w:cs="宋体"/>
                <w:sz w:val="24"/>
                <w:lang w:val="en-US" w:eastAsia="zh-CN"/>
              </w:rPr>
            </w:pPr>
            <w:r>
              <w:rPr>
                <w:rFonts w:hint="eastAsia" w:ascii="宋体" w:hAnsi="宋体" w:cs="宋体"/>
                <w:sz w:val="24"/>
                <w:lang w:val="en-US" w:eastAsia="zh-CN"/>
              </w:rPr>
              <w:t>包括项目名称、项目编号，供应商名称、地址、联系人、联系电话、日期等</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w:t>
            </w:r>
            <w:r>
              <w:rPr>
                <w:rFonts w:hint="eastAsia"/>
                <w:lang w:val="en-US" w:eastAsia="zh-CN"/>
              </w:rPr>
              <w:t>采用</w:t>
            </w:r>
            <w:r>
              <w:rPr>
                <w:rFonts w:hint="eastAsia"/>
              </w:rPr>
              <w:t>以承诺书替代保证金</w:t>
            </w:r>
            <w:r>
              <w:rPr>
                <w:rFonts w:hint="eastAsia" w:ascii="宋体" w:hAnsi="宋体" w:cs="宋体"/>
                <w:sz w:val="24"/>
              </w:rPr>
              <w:t>）</w:t>
            </w:r>
            <w:r>
              <w:rPr>
                <w:rFonts w:hint="eastAsia"/>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jc w:val="left"/>
              <w:rPr>
                <w:rFonts w:ascii="宋体" w:hAnsi="宋体" w:cs="宋体"/>
                <w:sz w:val="24"/>
              </w:rPr>
            </w:pPr>
            <w:r>
              <w:rPr>
                <w:rFonts w:hint="eastAsia" w:ascii="宋体" w:hAnsi="宋体" w:cs="宋体"/>
                <w:sz w:val="24"/>
                <w:lang w:val="en-US" w:eastAsia="zh-CN"/>
              </w:rPr>
              <w:t>30</w:t>
            </w:r>
            <w:r>
              <w:rPr>
                <w:rFonts w:hint="eastAsia" w:ascii="宋体" w:hAnsi="宋体" w:cs="宋体"/>
                <w:sz w:val="24"/>
              </w:rPr>
              <w:t>天</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cs="宋体"/>
                <w:sz w:val="24"/>
              </w:rPr>
            </w:pPr>
            <w:r>
              <w:rPr>
                <w:rFonts w:hint="eastAsia" w:ascii="宋体" w:hAnsi="宋体" w:cs="宋体"/>
                <w:sz w:val="24"/>
              </w:rPr>
              <w:t>付款方式</w:t>
            </w:r>
          </w:p>
        </w:tc>
        <w:tc>
          <w:tcPr>
            <w:tcW w:w="6615" w:type="dxa"/>
            <w:vAlign w:val="center"/>
          </w:tcPr>
          <w:p w14:paraId="17CCA34E">
            <w:pPr>
              <w:rPr>
                <w:rFonts w:hint="eastAsia" w:eastAsia="宋体"/>
                <w:lang w:eastAsia="zh-CN"/>
              </w:rPr>
            </w:pPr>
            <w:r>
              <w:rPr>
                <w:rFonts w:hint="eastAsia"/>
              </w:rPr>
              <w:t>可行性研究报告编制完成后10天内支付至合同额的80%；验收合格后10天内支付剩余20%。</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自行勘察</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ascii="宋体" w:hAnsi="宋体" w:cs="宋体"/>
                <w:b/>
                <w:bCs/>
                <w:sz w:val="24"/>
              </w:rPr>
            </w:pPr>
            <w:r>
              <w:rPr>
                <w:rFonts w:hint="eastAsia" w:ascii="宋体" w:hAnsi="宋体" w:cs="宋体"/>
                <w:b/>
                <w:bCs/>
                <w:sz w:val="24"/>
              </w:rPr>
              <w:t>报价</w:t>
            </w:r>
          </w:p>
        </w:tc>
        <w:tc>
          <w:tcPr>
            <w:tcW w:w="6615" w:type="dxa"/>
            <w:vAlign w:val="center"/>
          </w:tcPr>
          <w:p w14:paraId="008D8EB1">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ascii="宋体" w:hAnsi="宋体" w:cs="宋体"/>
                <w:b/>
                <w:bCs/>
                <w:sz w:val="24"/>
                <w:u w:val="single"/>
              </w:rPr>
            </w:pPr>
            <w:r>
              <w:rPr>
                <w:rFonts w:hint="eastAsia" w:ascii="宋体" w:hAnsi="宋体" w:cs="宋体"/>
                <w:b/>
                <w:bCs/>
                <w:sz w:val="24"/>
              </w:rPr>
              <w:t>一次报价</w:t>
            </w:r>
          </w:p>
        </w:tc>
      </w:tr>
      <w:tr w14:paraId="20B08F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35" w:type="dxa"/>
            <w:vAlign w:val="center"/>
          </w:tcPr>
          <w:p w14:paraId="1BAF63BD">
            <w:pPr>
              <w:numPr>
                <w:ilvl w:val="0"/>
                <w:numId w:val="1"/>
              </w:numPr>
              <w:spacing w:before="156" w:beforeLines="50"/>
              <w:jc w:val="center"/>
              <w:rPr>
                <w:rFonts w:ascii="宋体" w:hAnsi="宋体" w:cs="宋体"/>
                <w:sz w:val="24"/>
              </w:rPr>
            </w:pPr>
          </w:p>
        </w:tc>
        <w:tc>
          <w:tcPr>
            <w:tcW w:w="1995" w:type="dxa"/>
            <w:vAlign w:val="center"/>
          </w:tcPr>
          <w:p w14:paraId="747AC388">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eastAsia" w:ascii="宋体" w:hAnsi="宋体" w:cs="宋体"/>
                <w:b w:val="0"/>
                <w:bCs w:val="0"/>
                <w:sz w:val="24"/>
              </w:rPr>
            </w:pPr>
            <w:r>
              <w:rPr>
                <w:rFonts w:hint="eastAsia" w:ascii="宋体" w:hAnsi="宋体" w:cs="宋体"/>
                <w:b w:val="0"/>
                <w:bCs w:val="0"/>
                <w:sz w:val="24"/>
              </w:rPr>
              <w:t>所属行业</w:t>
            </w:r>
          </w:p>
        </w:tc>
        <w:tc>
          <w:tcPr>
            <w:tcW w:w="6615" w:type="dxa"/>
            <w:vAlign w:val="center"/>
          </w:tcPr>
          <w:p w14:paraId="4B85640F">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cs="宋体"/>
                <w:b w:val="0"/>
                <w:bCs w:val="0"/>
                <w:sz w:val="24"/>
              </w:rPr>
            </w:pPr>
            <w:r>
              <w:rPr>
                <w:rFonts w:hint="eastAsia" w:ascii="宋体" w:hAnsi="宋体" w:cs="宋体"/>
                <w:b w:val="0"/>
                <w:bCs w:val="0"/>
                <w:sz w:val="24"/>
              </w:rPr>
              <w:t>其他未列明行业</w:t>
            </w:r>
          </w:p>
        </w:tc>
      </w:tr>
    </w:tbl>
    <w:p w14:paraId="4EF05020">
      <w:pPr>
        <w:pStyle w:val="12"/>
        <w:ind w:firstLine="0" w:firstLineChars="0"/>
        <w:rPr>
          <w:rFonts w:hint="eastAsia" w:ascii="宋体" w:hAnsi="宋体" w:cs="宋体"/>
          <w:b/>
          <w:sz w:val="30"/>
          <w:szCs w:val="30"/>
        </w:rPr>
      </w:pPr>
    </w:p>
    <w:p w14:paraId="3C527A77">
      <w:pPr>
        <w:pStyle w:val="12"/>
        <w:ind w:firstLine="0" w:firstLineChars="0"/>
        <w:rPr>
          <w:rFonts w:hint="eastAsia" w:ascii="宋体" w:hAnsi="宋体" w:cs="宋体"/>
          <w:b/>
          <w:sz w:val="30"/>
          <w:szCs w:val="30"/>
        </w:rPr>
      </w:pPr>
    </w:p>
    <w:p w14:paraId="5D8DD1B6">
      <w:pPr>
        <w:pStyle w:val="12"/>
        <w:ind w:firstLine="0" w:firstLineChars="0"/>
        <w:rPr>
          <w:rFonts w:hint="eastAsia" w:ascii="宋体" w:hAnsi="宋体" w:cs="宋体"/>
          <w:b/>
          <w:sz w:val="30"/>
          <w:szCs w:val="30"/>
        </w:rPr>
      </w:pPr>
    </w:p>
    <w:p w14:paraId="47FEFC1D">
      <w:pPr>
        <w:pStyle w:val="12"/>
        <w:ind w:firstLine="0" w:firstLineChars="0"/>
        <w:rPr>
          <w:rFonts w:hint="eastAsia"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eastAsia="宋体" w:cs="宋体"/>
          <w:sz w:val="24"/>
          <w:lang w:val="en-US" w:eastAsia="zh-CN"/>
        </w:rPr>
        <w:t>项城市交通运输局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4.1.3政府采购供应商诚信承诺书；</w:t>
      </w:r>
    </w:p>
    <w:p w14:paraId="4DE4354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4.2</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w:t>
      </w:r>
      <w:r>
        <w:rPr>
          <w:rFonts w:hint="eastAsia" w:hAnsi="宋体" w:eastAsia="宋体"/>
          <w:color w:val="000000"/>
          <w:sz w:val="24"/>
          <w:lang w:val="en-US" w:eastAsia="zh-CN"/>
        </w:rPr>
        <w:t>提供法定代表人签章的营业执照扫描件并</w:t>
      </w:r>
      <w:r>
        <w:rPr>
          <w:rFonts w:hint="eastAsia" w:hAnsi="宋体" w:eastAsia="宋体"/>
          <w:color w:val="000000"/>
          <w:sz w:val="24"/>
        </w:rPr>
        <w:t>按要求提供</w:t>
      </w:r>
      <w:r>
        <w:rPr>
          <w:rFonts w:hint="eastAsia" w:hAnsi="宋体" w:eastAsia="宋体"/>
          <w:color w:val="000000"/>
          <w:sz w:val="24"/>
          <w:lang w:val="en-US" w:eastAsia="zh-CN"/>
        </w:rPr>
        <w:t>其他</w:t>
      </w:r>
      <w:r>
        <w:rPr>
          <w:rFonts w:hint="eastAsia" w:hAnsi="宋体" w:eastAsia="宋体"/>
          <w:color w:val="000000"/>
          <w:sz w:val="24"/>
        </w:rPr>
        <w:t>相关证明材料。</w:t>
      </w:r>
    </w:p>
    <w:p w14:paraId="7DA3C542">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33503160">
      <w:pPr>
        <w:autoSpaceDE w:val="0"/>
        <w:autoSpaceDN w:val="0"/>
        <w:adjustRightInd w:val="0"/>
        <w:snapToGrid w:val="0"/>
        <w:spacing w:line="360" w:lineRule="auto"/>
        <w:ind w:firstLine="480" w:firstLineChars="200"/>
        <w:rPr>
          <w:rFonts w:hint="default" w:eastAsia="宋体"/>
          <w:lang w:val="en-US" w:eastAsia="zh-CN"/>
        </w:rPr>
      </w:pPr>
      <w:r>
        <w:rPr>
          <w:rFonts w:hint="eastAsia" w:ascii="宋体" w:hAnsi="宋体" w:cs="宋体"/>
          <w:color w:val="000000"/>
          <w:kern w:val="0"/>
          <w:sz w:val="24"/>
          <w:lang w:val="zh-CN"/>
        </w:rPr>
        <w:t>4.5凡通过磋商小组符合性审查的供应商均为合格供应商。未通过符合性审查的供应商将视为不响应本项目的竞争性磋商文件被否决。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w:t>
      </w:r>
      <w:r>
        <w:rPr>
          <w:rFonts w:hint="eastAsia" w:ascii="宋体" w:hAnsi="宋体" w:cs="宋体"/>
          <w:sz w:val="24"/>
          <w:lang w:val="en-US" w:eastAsia="zh-CN"/>
        </w:rPr>
        <w:t>经法定代表签字确认的</w:t>
      </w:r>
      <w:r>
        <w:rPr>
          <w:rFonts w:hint="eastAsia" w:ascii="宋体" w:hAnsi="宋体" w:cs="宋体"/>
          <w:sz w:val="24"/>
        </w:rPr>
        <w:t>国家企业信用信息公示系统公告后查询截图并承诺。</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CBA77C">
      <w:pPr>
        <w:spacing w:line="560" w:lineRule="exact"/>
        <w:ind w:firstLine="480" w:firstLineChars="200"/>
        <w:rPr>
          <w:rFonts w:ascii="宋体" w:hAnsi="宋体" w:eastAsia="宋体" w:cs="宋体"/>
          <w:sz w:val="24"/>
        </w:rPr>
      </w:pPr>
      <w:r>
        <w:rPr>
          <w:rFonts w:hint="eastAsia" w:ascii="宋体" w:hAnsi="宋体" w:cs="宋体"/>
          <w:sz w:val="24"/>
        </w:rPr>
        <w:t>5.3本磋商文件由采购人负责解释。</w:t>
      </w: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sz w:val="24"/>
          <w:lang w:eastAsia="zh-CN"/>
        </w:rPr>
        <w:t>。</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FA1C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19.7.3供应商代表未能出具身份证</w:t>
      </w:r>
      <w:r>
        <w:rPr>
          <w:rFonts w:hint="eastAsia" w:ascii="宋体" w:hAnsi="宋体" w:cs="宋体"/>
          <w:sz w:val="24"/>
          <w:lang w:val="en-US" w:eastAsia="zh-CN"/>
        </w:rPr>
        <w:t>正面</w:t>
      </w:r>
      <w:r>
        <w:rPr>
          <w:rFonts w:hint="eastAsia" w:ascii="宋体" w:hAnsi="宋体" w:cs="宋体"/>
          <w:sz w:val="24"/>
        </w:rPr>
        <w:t>经其签字确认的有效身份证明的；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w:t>
      </w:r>
      <w:r>
        <w:rPr>
          <w:rFonts w:hint="eastAsia" w:ascii="宋体" w:hAnsi="宋体" w:eastAsia="宋体" w:cs="宋体"/>
          <w:color w:val="000000" w:themeColor="text1"/>
          <w:sz w:val="24"/>
          <w14:textFill>
            <w14:solidFill>
              <w14:schemeClr w14:val="tx1"/>
            </w14:solidFill>
          </w14:textFill>
        </w:rPr>
        <w:t>及供应商代表未提供劳动合同</w:t>
      </w:r>
      <w:r>
        <w:rPr>
          <w:rFonts w:hint="eastAsia" w:ascii="宋体" w:hAnsi="宋体" w:cs="宋体"/>
          <w:sz w:val="24"/>
        </w:rPr>
        <w:t>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7"/>
        <w:rPr>
          <w:rFonts w:ascii="宋体" w:hAnsi="宋体" w:cs="宋体"/>
          <w:sz w:val="24"/>
          <w:szCs w:val="24"/>
        </w:rPr>
      </w:pPr>
    </w:p>
    <w:p w14:paraId="30ABFBD5">
      <w:pPr>
        <w:spacing w:line="560" w:lineRule="exact"/>
        <w:ind w:firstLine="482" w:firstLineChars="200"/>
        <w:rPr>
          <w:rFonts w:hint="eastAsia" w:ascii="宋体" w:hAnsi="宋体" w:cs="宋体"/>
          <w:b/>
          <w:sz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B5CF4D9">
      <w:pPr>
        <w:spacing w:line="560" w:lineRule="exact"/>
        <w:ind w:firstLine="480" w:firstLineChars="200"/>
        <w:rPr>
          <w:rFonts w:ascii="宋体" w:hAnsi="宋体" w:cs="宋体"/>
          <w:color w:val="FF0000"/>
          <w:sz w:val="24"/>
        </w:rPr>
      </w:pPr>
      <w:r>
        <w:rPr>
          <w:rFonts w:hint="eastAsia" w:ascii="宋体" w:hAnsi="宋体" w:cs="宋体"/>
          <w:color w:val="auto"/>
          <w:sz w:val="24"/>
        </w:rPr>
        <w:t>21.5.1一次报价，依据是供应商的投标函和开标记录表。</w:t>
      </w:r>
    </w:p>
    <w:p w14:paraId="4144A78E">
      <w:pPr>
        <w:spacing w:line="720" w:lineRule="auto"/>
        <w:jc w:val="center"/>
        <w:rPr>
          <w:rFonts w:hint="eastAsia" w:ascii="宋体" w:hAnsi="宋体" w:cs="宋体"/>
          <w:b/>
          <w:sz w:val="24"/>
        </w:rPr>
      </w:pP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8B6B5C8">
      <w:pPr>
        <w:spacing w:line="360" w:lineRule="auto"/>
        <w:ind w:right="-92" w:rightChars="-44"/>
        <w:rPr>
          <w:rFonts w:ascii="宋体" w:hAnsi="宋体" w:eastAsia="宋体" w:cs="宋体"/>
          <w:sz w:val="24"/>
        </w:rPr>
      </w:pPr>
      <w:r>
        <w:rPr>
          <w:rFonts w:hint="eastAsia" w:ascii="宋体" w:hAnsi="宋体" w:cs="宋体"/>
          <w:sz w:val="24"/>
        </w:rPr>
        <w:t>评标方法：</w:t>
      </w:r>
    </w:p>
    <w:tbl>
      <w:tblPr>
        <w:tblStyle w:val="27"/>
        <w:tblW w:w="9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1925"/>
        <w:gridCol w:w="4325"/>
        <w:gridCol w:w="1875"/>
      </w:tblGrid>
      <w:tr w14:paraId="29D9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06" w:type="dxa"/>
            <w:tcBorders>
              <w:tl2br w:val="nil"/>
              <w:tr2bl w:val="nil"/>
            </w:tcBorders>
            <w:vAlign w:val="center"/>
          </w:tcPr>
          <w:p w14:paraId="30EA282F">
            <w:pPr>
              <w:widowControl/>
              <w:spacing w:line="288" w:lineRule="auto"/>
              <w:jc w:val="center"/>
              <w:rPr>
                <w:rFonts w:ascii="宋体" w:hAnsi="宋体" w:eastAsia="宋体" w:cs="宋体"/>
                <w:b/>
                <w:bCs/>
                <w:color w:val="000000"/>
                <w:sz w:val="24"/>
              </w:rPr>
            </w:pPr>
            <w:r>
              <w:rPr>
                <w:rFonts w:hint="eastAsia" w:ascii="宋体" w:hAnsi="宋体" w:eastAsia="宋体" w:cs="宋体"/>
                <w:b/>
                <w:bCs/>
                <w:color w:val="000000"/>
                <w:sz w:val="24"/>
              </w:rPr>
              <w:t>评分指标</w:t>
            </w:r>
          </w:p>
        </w:tc>
        <w:tc>
          <w:tcPr>
            <w:tcW w:w="1925" w:type="dxa"/>
            <w:tcBorders>
              <w:tl2br w:val="nil"/>
              <w:tr2bl w:val="nil"/>
            </w:tcBorders>
            <w:vAlign w:val="center"/>
          </w:tcPr>
          <w:p w14:paraId="5CCAF4C2">
            <w:pPr>
              <w:widowControl/>
              <w:spacing w:line="288" w:lineRule="auto"/>
              <w:jc w:val="center"/>
              <w:rPr>
                <w:rFonts w:ascii="宋体" w:hAnsi="宋体" w:eastAsia="宋体" w:cs="宋体"/>
                <w:b/>
                <w:bCs/>
                <w:color w:val="000000"/>
                <w:sz w:val="24"/>
              </w:rPr>
            </w:pPr>
            <w:r>
              <w:rPr>
                <w:rFonts w:hint="eastAsia" w:ascii="宋体" w:hAnsi="宋体" w:eastAsia="宋体" w:cs="宋体"/>
                <w:b/>
                <w:bCs/>
                <w:color w:val="000000"/>
                <w:sz w:val="24"/>
              </w:rPr>
              <w:t>分值</w:t>
            </w:r>
          </w:p>
        </w:tc>
        <w:tc>
          <w:tcPr>
            <w:tcW w:w="4325" w:type="dxa"/>
            <w:tcBorders>
              <w:tl2br w:val="nil"/>
              <w:tr2bl w:val="nil"/>
            </w:tcBorders>
            <w:vAlign w:val="center"/>
          </w:tcPr>
          <w:p w14:paraId="4989EA71">
            <w:pPr>
              <w:widowControl/>
              <w:spacing w:line="288" w:lineRule="auto"/>
              <w:jc w:val="center"/>
              <w:rPr>
                <w:rFonts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1875" w:type="dxa"/>
            <w:tcBorders>
              <w:tl2br w:val="nil"/>
              <w:tr2bl w:val="nil"/>
            </w:tcBorders>
            <w:vAlign w:val="center"/>
          </w:tcPr>
          <w:p w14:paraId="02062609">
            <w:pPr>
              <w:widowControl/>
              <w:spacing w:line="288" w:lineRule="auto"/>
              <w:jc w:val="center"/>
              <w:rPr>
                <w:rFonts w:ascii="宋体" w:hAnsi="宋体" w:eastAsia="宋体" w:cs="宋体"/>
                <w:b/>
                <w:bCs/>
                <w:color w:val="000000"/>
                <w:sz w:val="24"/>
              </w:rPr>
            </w:pPr>
            <w:r>
              <w:rPr>
                <w:rFonts w:hint="eastAsia" w:ascii="宋体" w:hAnsi="宋体" w:eastAsia="宋体" w:cs="宋体"/>
                <w:b/>
                <w:bCs/>
                <w:color w:val="000000"/>
                <w:sz w:val="24"/>
              </w:rPr>
              <w:t>评分依据</w:t>
            </w:r>
          </w:p>
        </w:tc>
      </w:tr>
      <w:tr w14:paraId="2F7C2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9" w:hRule="atLeast"/>
          <w:jc w:val="center"/>
        </w:trPr>
        <w:tc>
          <w:tcPr>
            <w:tcW w:w="1206" w:type="dxa"/>
            <w:tcBorders>
              <w:tl2br w:val="nil"/>
              <w:tr2bl w:val="nil"/>
            </w:tcBorders>
            <w:vAlign w:val="center"/>
          </w:tcPr>
          <w:p w14:paraId="14E1C2C0">
            <w:pPr>
              <w:widowControl/>
              <w:spacing w:line="288" w:lineRule="auto"/>
              <w:jc w:val="center"/>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报价得分（10分）</w:t>
            </w:r>
          </w:p>
        </w:tc>
        <w:tc>
          <w:tcPr>
            <w:tcW w:w="1925" w:type="dxa"/>
            <w:tcBorders>
              <w:tl2br w:val="nil"/>
              <w:tr2bl w:val="nil"/>
            </w:tcBorders>
            <w:vAlign w:val="center"/>
          </w:tcPr>
          <w:p w14:paraId="2F445471">
            <w:pPr>
              <w:widowControl/>
              <w:spacing w:line="288"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（10分）</w:t>
            </w:r>
          </w:p>
        </w:tc>
        <w:tc>
          <w:tcPr>
            <w:tcW w:w="6200" w:type="dxa"/>
            <w:gridSpan w:val="2"/>
            <w:tcBorders>
              <w:tl2br w:val="nil"/>
              <w:tr2bl w:val="nil"/>
            </w:tcBorders>
            <w:vAlign w:val="center"/>
          </w:tcPr>
          <w:p w14:paraId="464F0B81">
            <w:pPr>
              <w:adjustRightInd w:val="0"/>
              <w:snapToGrid w:val="0"/>
              <w:spacing w:line="288" w:lineRule="auto"/>
              <w:ind w:firstLine="480" w:firstLineChars="200"/>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75881359">
            <w:pPr>
              <w:adjustRightInd w:val="0"/>
              <w:snapToGrid w:val="0"/>
              <w:spacing w:line="288" w:lineRule="auto"/>
              <w:ind w:firstLine="480" w:firstLineChars="200"/>
              <w:rPr>
                <w:rFonts w:ascii="宋体" w:hAnsi="宋体" w:eastAsia="宋体" w:cs="宋体"/>
                <w:bCs/>
                <w:sz w:val="24"/>
                <w:szCs w:val="20"/>
              </w:rPr>
            </w:pPr>
            <w:r>
              <w:rPr>
                <w:rFonts w:hint="eastAsia" w:ascii="宋体" w:hAnsi="宋体" w:eastAsia="宋体" w:cs="宋体"/>
                <w:bCs/>
                <w:sz w:val="24"/>
                <w:szCs w:val="20"/>
              </w:rPr>
              <w:t>磋商报价得分=（磋商基准价/最后磋商报价）×价格权值×10</w:t>
            </w:r>
          </w:p>
          <w:p w14:paraId="4FBF82E9">
            <w:pPr>
              <w:tabs>
                <w:tab w:val="left" w:pos="5130"/>
              </w:tabs>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5C0EE631">
            <w:pPr>
              <w:widowControl w:val="0"/>
              <w:adjustRightInd w:val="0"/>
              <w:snapToGrid w:val="0"/>
              <w:spacing w:after="0" w:line="288" w:lineRule="auto"/>
              <w:ind w:firstLine="0" w:firstLineChars="0"/>
              <w:jc w:val="both"/>
              <w:rPr>
                <w:rFonts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25A0A501">
            <w:pPr>
              <w:widowControl w:val="0"/>
              <w:adjustRightInd w:val="0"/>
              <w:snapToGrid w:val="0"/>
              <w:spacing w:after="0" w:line="288" w:lineRule="auto"/>
              <w:ind w:firstLine="0" w:firstLineChars="0"/>
              <w:jc w:val="both"/>
              <w:rPr>
                <w:rFonts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（1）对小微企业报价给予20%扣除，请按照《政府采购促进中小企业发展管理办法》要求提供中小企业声明函。</w:t>
            </w:r>
          </w:p>
          <w:p w14:paraId="136C7116">
            <w:pPr>
              <w:widowControl w:val="0"/>
              <w:adjustRightInd w:val="0"/>
              <w:snapToGrid w:val="0"/>
              <w:spacing w:after="0" w:line="288" w:lineRule="auto"/>
              <w:ind w:firstLine="0" w:firstLineChars="0"/>
              <w:jc w:val="both"/>
              <w:rPr>
                <w:rFonts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74290378">
            <w:pPr>
              <w:widowControl w:val="0"/>
              <w:adjustRightInd w:val="0"/>
              <w:snapToGrid w:val="0"/>
              <w:spacing w:after="0" w:line="288" w:lineRule="auto"/>
              <w:ind w:firstLine="0" w:firstLineChars="0"/>
              <w:jc w:val="both"/>
              <w:rPr>
                <w:rFonts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7DA24CF3">
            <w:pPr>
              <w:widowControl/>
              <w:adjustRightInd w:val="0"/>
              <w:snapToGrid w:val="0"/>
              <w:spacing w:line="288" w:lineRule="auto"/>
              <w:jc w:val="left"/>
              <w:rPr>
                <w:rFonts w:ascii="宋体" w:hAnsi="宋体" w:eastAsia="宋体" w:cs="宋体"/>
                <w:sz w:val="24"/>
              </w:rPr>
            </w:pPr>
            <w:r>
              <w:rPr>
                <w:rFonts w:hint="eastAsia" w:ascii="宋体" w:hAnsi="宋体" w:eastAsia="宋体" w:cs="宋体"/>
                <w:bCs/>
                <w:sz w:val="24"/>
                <w:szCs w:val="20"/>
              </w:rPr>
              <w:t>（4）没有提供有效证明材料的供应商将被视为不接受投标总价的扣除，用原投标总价参与评审。</w:t>
            </w:r>
          </w:p>
        </w:tc>
      </w:tr>
      <w:tr w14:paraId="6423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1206" w:type="dxa"/>
            <w:vMerge w:val="restart"/>
            <w:tcBorders>
              <w:tl2br w:val="nil"/>
              <w:tr2bl w:val="nil"/>
            </w:tcBorders>
            <w:vAlign w:val="center"/>
          </w:tcPr>
          <w:p w14:paraId="3070FDFF">
            <w:pPr>
              <w:widowControl/>
              <w:adjustRightInd w:val="0"/>
              <w:snapToGrid w:val="0"/>
              <w:spacing w:line="288" w:lineRule="auto"/>
              <w:jc w:val="center"/>
              <w:rPr>
                <w:rFonts w:ascii="宋体" w:hAnsi="宋体" w:eastAsia="宋体" w:cs="宋体"/>
                <w:sz w:val="24"/>
              </w:rPr>
            </w:pPr>
            <w:r>
              <w:rPr>
                <w:rFonts w:hint="eastAsia" w:ascii="宋体" w:hAnsi="宋体" w:eastAsia="宋体" w:cs="宋体"/>
                <w:sz w:val="24"/>
              </w:rPr>
              <w:t>技术方案(60分)</w:t>
            </w:r>
          </w:p>
          <w:p w14:paraId="49B2AAB2">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2D86B0AD">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总体服务方案</w:t>
            </w:r>
          </w:p>
          <w:p w14:paraId="2CC62427">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（20分）</w:t>
            </w:r>
          </w:p>
        </w:tc>
        <w:tc>
          <w:tcPr>
            <w:tcW w:w="6200" w:type="dxa"/>
            <w:gridSpan w:val="2"/>
            <w:tcBorders>
              <w:tl2br w:val="nil"/>
              <w:tr2bl w:val="nil"/>
            </w:tcBorders>
            <w:vAlign w:val="center"/>
          </w:tcPr>
          <w:p w14:paraId="4E1970A7">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根据本项目实际情况编制整体实施服务计划和方案，包括但不限于对本项目基本情况的理解、总体思路构思，实施方案可行性，保障措施完善得20分；不提供不得分。</w:t>
            </w:r>
          </w:p>
          <w:p w14:paraId="7032BBAE">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6998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206" w:type="dxa"/>
            <w:vMerge w:val="continue"/>
            <w:tcBorders>
              <w:tl2br w:val="nil"/>
              <w:tr2bl w:val="nil"/>
            </w:tcBorders>
            <w:vAlign w:val="center"/>
          </w:tcPr>
          <w:p w14:paraId="5F8C9F56">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14332150">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本地研究</w:t>
            </w:r>
          </w:p>
          <w:p w14:paraId="23AA9450">
            <w:pPr>
              <w:widowControl/>
              <w:adjustRightInd w:val="0"/>
              <w:snapToGrid w:val="0"/>
              <w:spacing w:line="288" w:lineRule="auto"/>
              <w:jc w:val="center"/>
              <w:rPr>
                <w:rFonts w:ascii="宋体" w:hAnsi="宋体" w:eastAsia="宋体" w:cs="宋体"/>
                <w:color w:val="000000"/>
                <w:sz w:val="24"/>
              </w:rPr>
            </w:pPr>
            <w:r>
              <w:rPr>
                <w:rFonts w:hint="eastAsia" w:ascii="宋体" w:hAnsi="宋体" w:eastAsia="宋体" w:cs="宋体"/>
                <w:bCs/>
                <w:sz w:val="24"/>
                <w:szCs w:val="20"/>
              </w:rPr>
              <w:t>（10分）</w:t>
            </w:r>
          </w:p>
        </w:tc>
        <w:tc>
          <w:tcPr>
            <w:tcW w:w="6200" w:type="dxa"/>
            <w:gridSpan w:val="2"/>
            <w:tcBorders>
              <w:tl2br w:val="nil"/>
              <w:tr2bl w:val="nil"/>
            </w:tcBorders>
            <w:vAlign w:val="center"/>
          </w:tcPr>
          <w:p w14:paraId="101FC707">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1、供应商对项目背景的了解，包括合理地解读项目的规划背景、政策背景、区域背景和文化背景得5分；不提供不得分。</w:t>
            </w:r>
          </w:p>
          <w:p w14:paraId="089D7365">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2、供应商对场地现状的了解，根据项目实施范围进行详细踏勘，按区域逐一详尽的提供相应的现场照片及分析成果得5分；不提供不得分。</w:t>
            </w:r>
          </w:p>
          <w:p w14:paraId="3F64AB0F">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7002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206" w:type="dxa"/>
            <w:vMerge w:val="continue"/>
            <w:tcBorders>
              <w:tl2br w:val="nil"/>
              <w:tr2bl w:val="nil"/>
            </w:tcBorders>
            <w:vAlign w:val="center"/>
          </w:tcPr>
          <w:p w14:paraId="71A329A4">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4E593692">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工作重难点分析、合理化建议（5分）</w:t>
            </w:r>
          </w:p>
        </w:tc>
        <w:tc>
          <w:tcPr>
            <w:tcW w:w="6200" w:type="dxa"/>
            <w:gridSpan w:val="2"/>
            <w:tcBorders>
              <w:tl2br w:val="nil"/>
              <w:tr2bl w:val="nil"/>
            </w:tcBorders>
            <w:vAlign w:val="center"/>
          </w:tcPr>
          <w:p w14:paraId="4D8D4D55">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供应商结合本项目实际情况提供工作重难点分析、合理化建议得5分；不提供不得分。</w:t>
            </w:r>
          </w:p>
          <w:p w14:paraId="648C9DB5">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以上所提供的内容中每有一处具有缺陷(缺陷是指凭空编造、只有简单描述无实质性内容，内容前后不一致、前后逻辑错误、不合理、地点区域错误、提供内容不符合本项目特点)的扣1分，扣完为止。</w:t>
            </w:r>
          </w:p>
        </w:tc>
      </w:tr>
      <w:tr w14:paraId="4D9E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jc w:val="center"/>
        </w:trPr>
        <w:tc>
          <w:tcPr>
            <w:tcW w:w="1206" w:type="dxa"/>
            <w:vMerge w:val="continue"/>
            <w:tcBorders>
              <w:tl2br w:val="nil"/>
              <w:tr2bl w:val="nil"/>
            </w:tcBorders>
            <w:vAlign w:val="center"/>
          </w:tcPr>
          <w:p w14:paraId="179B03AA">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23FC0985">
            <w:pPr>
              <w:widowControl/>
              <w:adjustRightInd w:val="0"/>
              <w:snapToGrid w:val="0"/>
              <w:spacing w:line="288" w:lineRule="auto"/>
              <w:jc w:val="center"/>
              <w:rPr>
                <w:rFonts w:hint="eastAsia" w:ascii="宋体" w:hAnsi="宋体" w:eastAsia="宋体" w:cs="宋体"/>
                <w:bCs/>
                <w:sz w:val="24"/>
                <w:szCs w:val="20"/>
              </w:rPr>
            </w:pPr>
            <w:r>
              <w:rPr>
                <w:rFonts w:hint="eastAsia" w:ascii="宋体" w:hAnsi="宋体" w:eastAsia="宋体" w:cs="宋体"/>
                <w:bCs/>
                <w:sz w:val="24"/>
                <w:szCs w:val="20"/>
              </w:rPr>
              <w:t>服务质量、安全保障措施</w:t>
            </w:r>
          </w:p>
          <w:p w14:paraId="252FB0A3">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（10分）</w:t>
            </w:r>
          </w:p>
        </w:tc>
        <w:tc>
          <w:tcPr>
            <w:tcW w:w="6200" w:type="dxa"/>
            <w:gridSpan w:val="2"/>
            <w:tcBorders>
              <w:tl2br w:val="nil"/>
              <w:tr2bl w:val="nil"/>
            </w:tcBorders>
            <w:vAlign w:val="center"/>
          </w:tcPr>
          <w:p w14:paraId="1B44418C">
            <w:pPr>
              <w:widowControl/>
              <w:adjustRightInd w:val="0"/>
              <w:snapToGrid w:val="0"/>
              <w:spacing w:line="288" w:lineRule="auto"/>
              <w:ind w:firstLine="0" w:firstLineChars="0"/>
              <w:jc w:val="both"/>
              <w:rPr>
                <w:rFonts w:ascii="宋体" w:hAnsi="宋体" w:eastAsia="宋体" w:cs="宋体"/>
                <w:bCs/>
                <w:kern w:val="2"/>
                <w:sz w:val="24"/>
                <w:szCs w:val="20"/>
                <w:lang w:val="en-US" w:eastAsia="zh-CN" w:bidi="ar-SA"/>
              </w:rPr>
            </w:pPr>
            <w:r>
              <w:rPr>
                <w:rFonts w:ascii="宋体" w:hAnsi="宋体" w:eastAsia="宋体" w:cs="宋体"/>
                <w:bCs/>
                <w:kern w:val="2"/>
                <w:sz w:val="24"/>
                <w:szCs w:val="20"/>
                <w:lang w:val="en-US" w:eastAsia="zh-CN" w:bidi="ar-SA"/>
              </w:rPr>
              <w:t>供应商提供针对本项目的质量、安全的管理、技术措施得10分；不提供不得分。</w:t>
            </w:r>
          </w:p>
          <w:p w14:paraId="7C93AA9A">
            <w:pPr>
              <w:widowControl/>
              <w:adjustRightInd w:val="0"/>
              <w:snapToGrid w:val="0"/>
              <w:spacing w:line="288" w:lineRule="auto"/>
              <w:ind w:firstLine="0" w:firstLineChars="0"/>
              <w:jc w:val="both"/>
              <w:rPr>
                <w:rFonts w:ascii="宋体" w:hAnsi="宋体" w:eastAsia="宋体" w:cs="宋体"/>
                <w:bCs/>
                <w:kern w:val="2"/>
                <w:sz w:val="24"/>
                <w:szCs w:val="20"/>
                <w:lang w:val="en-US" w:eastAsia="zh-CN" w:bidi="ar-SA"/>
              </w:rPr>
            </w:pPr>
            <w:r>
              <w:rPr>
                <w:rFonts w:ascii="宋体" w:hAnsi="宋体" w:eastAsia="宋体" w:cs="宋体"/>
                <w:bCs/>
                <w:kern w:val="2"/>
                <w:sz w:val="24"/>
                <w:szCs w:val="20"/>
                <w:lang w:val="en-US" w:eastAsia="zh-CN" w:bidi="ar-SA"/>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055FA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206" w:type="dxa"/>
            <w:vMerge w:val="continue"/>
            <w:tcBorders>
              <w:tl2br w:val="nil"/>
              <w:tr2bl w:val="nil"/>
            </w:tcBorders>
            <w:vAlign w:val="center"/>
          </w:tcPr>
          <w:p w14:paraId="0B320B7D">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757483D2">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进度计划安排及保证措施</w:t>
            </w:r>
          </w:p>
          <w:p w14:paraId="68299AAB">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（5分）</w:t>
            </w:r>
          </w:p>
        </w:tc>
        <w:tc>
          <w:tcPr>
            <w:tcW w:w="6200" w:type="dxa"/>
            <w:gridSpan w:val="2"/>
            <w:tcBorders>
              <w:tl2br w:val="nil"/>
              <w:tr2bl w:val="nil"/>
            </w:tcBorders>
            <w:vAlign w:val="center"/>
          </w:tcPr>
          <w:p w14:paraId="0AA5F85B">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供应商结合本项目实际情况提供进度计划安排及保证措施，提供对本项目的分期实施计划和对项目的投资估算得5分；不提供不得分。</w:t>
            </w:r>
          </w:p>
          <w:p w14:paraId="5EA2F17D">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以上所提供的内容中每有一处具有缺陷(缺陷是指凭空编造、只有简单描述无实质性内容，内容前后不一致、前后逻辑错误、涉及的规范及标准错误、地点区域错误、提供内容不符合本项目特点)的扣1分，扣完为止。</w:t>
            </w:r>
          </w:p>
        </w:tc>
      </w:tr>
      <w:tr w14:paraId="3748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1206" w:type="dxa"/>
            <w:vMerge w:val="continue"/>
            <w:tcBorders>
              <w:tl2br w:val="nil"/>
              <w:tr2bl w:val="nil"/>
            </w:tcBorders>
            <w:vAlign w:val="center"/>
          </w:tcPr>
          <w:p w14:paraId="343D4EBC">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1F6EB545">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后续服务方案（10</w:t>
            </w:r>
            <w:r>
              <w:rPr>
                <w:rFonts w:hint="eastAsia" w:ascii="宋体" w:hAnsi="宋体" w:cs="宋体"/>
                <w:bCs/>
                <w:sz w:val="24"/>
                <w:szCs w:val="20"/>
                <w:lang w:val="en-US" w:eastAsia="zh-CN"/>
              </w:rPr>
              <w:t>分</w:t>
            </w:r>
            <w:r>
              <w:rPr>
                <w:rFonts w:hint="eastAsia" w:ascii="宋体" w:hAnsi="宋体" w:eastAsia="宋体" w:cs="宋体"/>
                <w:bCs/>
                <w:sz w:val="24"/>
                <w:szCs w:val="20"/>
              </w:rPr>
              <w:t>）</w:t>
            </w:r>
          </w:p>
        </w:tc>
        <w:tc>
          <w:tcPr>
            <w:tcW w:w="6200" w:type="dxa"/>
            <w:gridSpan w:val="2"/>
            <w:tcBorders>
              <w:tl2br w:val="nil"/>
              <w:tr2bl w:val="nil"/>
            </w:tcBorders>
            <w:vAlign w:val="center"/>
          </w:tcPr>
          <w:p w14:paraId="1BF53A43">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供应商提供的售后服务计划，服务期内供应商能针对采购人提出的要求和成果问题及时到场解决、后续服务方案详尽、延续服务完善得10分。不提供不得分。</w:t>
            </w:r>
          </w:p>
          <w:p w14:paraId="2CCD8B07">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以上所提供的内容中每有一处具有缺陷(缺陷是指凭空编造、只有简单描述无实质性内容，内容前后不一致、前后逻辑错误、不满足服务要求、提供内容不符合本项目特点)的扣1分，扣完为止。</w:t>
            </w:r>
          </w:p>
        </w:tc>
      </w:tr>
      <w:tr w14:paraId="34F4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1206" w:type="dxa"/>
            <w:vMerge w:val="restart"/>
            <w:tcBorders>
              <w:tl2br w:val="nil"/>
              <w:tr2bl w:val="nil"/>
            </w:tcBorders>
            <w:vAlign w:val="center"/>
          </w:tcPr>
          <w:p w14:paraId="2F7BB702">
            <w:pPr>
              <w:adjustRightInd w:val="0"/>
              <w:snapToGrid w:val="0"/>
              <w:spacing w:line="288" w:lineRule="auto"/>
              <w:jc w:val="center"/>
              <w:rPr>
                <w:rFonts w:ascii="宋体" w:hAnsi="宋体" w:eastAsia="宋体" w:cs="宋体"/>
                <w:sz w:val="24"/>
              </w:rPr>
            </w:pPr>
            <w:r>
              <w:rPr>
                <w:rFonts w:hint="eastAsia" w:ascii="宋体" w:hAnsi="宋体" w:eastAsia="宋体" w:cs="宋体"/>
                <w:sz w:val="24"/>
              </w:rPr>
              <w:t>综合部分</w:t>
            </w:r>
          </w:p>
          <w:p w14:paraId="3D5C9347">
            <w:pPr>
              <w:adjustRightInd w:val="0"/>
              <w:snapToGrid w:val="0"/>
              <w:spacing w:line="288" w:lineRule="auto"/>
              <w:jc w:val="center"/>
              <w:rPr>
                <w:rFonts w:ascii="宋体" w:hAnsi="宋体" w:eastAsia="宋体" w:cs="宋体"/>
                <w:sz w:val="24"/>
              </w:rPr>
            </w:pPr>
            <w:r>
              <w:rPr>
                <w:rFonts w:hint="eastAsia" w:ascii="宋体" w:hAnsi="宋体" w:eastAsia="宋体" w:cs="宋体"/>
                <w:sz w:val="24"/>
              </w:rPr>
              <w:t>（30分）</w:t>
            </w:r>
          </w:p>
          <w:p w14:paraId="62BDAA1F">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6A49912F">
            <w:pPr>
              <w:widowControl/>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项目管理机构（10分）</w:t>
            </w:r>
          </w:p>
        </w:tc>
        <w:tc>
          <w:tcPr>
            <w:tcW w:w="6200" w:type="dxa"/>
            <w:gridSpan w:val="2"/>
            <w:tcBorders>
              <w:tl2br w:val="nil"/>
              <w:tr2bl w:val="nil"/>
            </w:tcBorders>
            <w:vAlign w:val="center"/>
          </w:tcPr>
          <w:p w14:paraId="30E0E09E">
            <w:pPr>
              <w:widowControl/>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拟派本项目的技术人员中，项目负责人为高级职称的，得2分；除项目负责人外，每配备一名相关专业高级及以上职称的得1分，最高得10分。</w:t>
            </w:r>
          </w:p>
        </w:tc>
      </w:tr>
      <w:tr w14:paraId="5C19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206" w:type="dxa"/>
            <w:vMerge w:val="continue"/>
            <w:tcBorders>
              <w:tl2br w:val="nil"/>
              <w:tr2bl w:val="nil"/>
            </w:tcBorders>
            <w:vAlign w:val="center"/>
          </w:tcPr>
          <w:p w14:paraId="14C26FA6">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4D1A20DC">
            <w:pPr>
              <w:widowControl/>
              <w:adjustRightInd w:val="0"/>
              <w:snapToGrid w:val="0"/>
              <w:spacing w:line="288" w:lineRule="auto"/>
              <w:jc w:val="center"/>
              <w:rPr>
                <w:rFonts w:ascii="宋体" w:hAnsi="宋体" w:eastAsia="宋体" w:cs="宋体"/>
                <w:color w:val="000000"/>
                <w:sz w:val="24"/>
              </w:rPr>
            </w:pPr>
            <w:r>
              <w:rPr>
                <w:rFonts w:hint="eastAsia" w:ascii="宋体" w:hAnsi="宋体" w:eastAsia="宋体" w:cs="宋体"/>
                <w:bCs/>
                <w:sz w:val="24"/>
                <w:szCs w:val="20"/>
              </w:rPr>
              <w:t>项目负责人业绩（2分）</w:t>
            </w:r>
          </w:p>
        </w:tc>
        <w:tc>
          <w:tcPr>
            <w:tcW w:w="6200" w:type="dxa"/>
            <w:gridSpan w:val="2"/>
            <w:tcBorders>
              <w:tl2br w:val="nil"/>
              <w:tr2bl w:val="nil"/>
            </w:tcBorders>
            <w:vAlign w:val="center"/>
          </w:tcPr>
          <w:p w14:paraId="352150FF">
            <w:pPr>
              <w:adjustRightInd w:val="0"/>
              <w:snapToGrid w:val="0"/>
              <w:spacing w:line="288" w:lineRule="auto"/>
              <w:rPr>
                <w:rFonts w:hint="eastAsia" w:ascii="宋体" w:hAnsi="宋体" w:eastAsia="宋体" w:cs="宋体"/>
                <w:color w:val="C00000"/>
                <w:sz w:val="24"/>
                <w:lang w:val="en-US" w:eastAsia="zh-CN"/>
              </w:rPr>
            </w:pPr>
            <w:r>
              <w:rPr>
                <w:rFonts w:hint="eastAsia" w:ascii="宋体" w:hAnsi="宋体" w:eastAsia="宋体" w:cs="宋体"/>
                <w:bCs/>
                <w:sz w:val="24"/>
                <w:szCs w:val="20"/>
              </w:rPr>
              <w:t>项目负责人2023年1月</w:t>
            </w:r>
            <w:r>
              <w:rPr>
                <w:rFonts w:hint="eastAsia" w:ascii="宋体" w:hAnsi="宋体" w:eastAsia="宋体" w:cs="宋体"/>
                <w:bCs/>
                <w:sz w:val="24"/>
                <w:szCs w:val="20"/>
                <w:lang w:val="zh-CN"/>
              </w:rPr>
              <w:t>以来承担过以来承担过的类似项目业绩</w:t>
            </w:r>
            <w:r>
              <w:rPr>
                <w:rFonts w:hint="eastAsia" w:ascii="宋体" w:hAnsi="宋体" w:eastAsia="宋体" w:cs="宋体"/>
                <w:bCs/>
                <w:sz w:val="24"/>
                <w:szCs w:val="20"/>
              </w:rPr>
              <w:t>，除</w:t>
            </w:r>
            <w:r>
              <w:rPr>
                <w:rFonts w:hint="eastAsia" w:ascii="宋体" w:hAnsi="宋体" w:cs="宋体"/>
                <w:bCs/>
                <w:sz w:val="24"/>
                <w:szCs w:val="20"/>
                <w:lang w:val="en-US" w:eastAsia="zh-CN"/>
              </w:rPr>
              <w:t>资格项</w:t>
            </w:r>
            <w:r>
              <w:rPr>
                <w:rFonts w:hint="eastAsia" w:ascii="宋体" w:hAnsi="宋体" w:eastAsia="宋体" w:cs="宋体"/>
                <w:bCs/>
                <w:sz w:val="24"/>
                <w:szCs w:val="20"/>
              </w:rPr>
              <w:t>业绩每多提供一个得2分，最多得2分。</w:t>
            </w:r>
          </w:p>
        </w:tc>
      </w:tr>
      <w:tr w14:paraId="648C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jc w:val="center"/>
        </w:trPr>
        <w:tc>
          <w:tcPr>
            <w:tcW w:w="1206" w:type="dxa"/>
            <w:vMerge w:val="continue"/>
            <w:tcBorders>
              <w:tl2br w:val="nil"/>
              <w:tr2bl w:val="nil"/>
            </w:tcBorders>
            <w:vAlign w:val="center"/>
          </w:tcPr>
          <w:p w14:paraId="280B5A42">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0011C1F3">
            <w:pPr>
              <w:adjustRightInd w:val="0"/>
              <w:snapToGrid w:val="0"/>
              <w:spacing w:line="288" w:lineRule="auto"/>
              <w:jc w:val="center"/>
              <w:rPr>
                <w:rFonts w:hint="eastAsia" w:ascii="宋体" w:hAnsi="宋体" w:eastAsia="宋体" w:cs="宋体"/>
                <w:bCs/>
                <w:sz w:val="24"/>
                <w:szCs w:val="20"/>
              </w:rPr>
            </w:pPr>
            <w:r>
              <w:rPr>
                <w:rFonts w:hint="eastAsia" w:ascii="宋体" w:hAnsi="宋体" w:eastAsia="宋体" w:cs="宋体"/>
                <w:bCs/>
                <w:sz w:val="24"/>
                <w:szCs w:val="20"/>
              </w:rPr>
              <w:t>企业业绩</w:t>
            </w:r>
          </w:p>
          <w:p w14:paraId="7B3DB778">
            <w:pPr>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（10分）</w:t>
            </w:r>
          </w:p>
        </w:tc>
        <w:tc>
          <w:tcPr>
            <w:tcW w:w="6200" w:type="dxa"/>
            <w:gridSpan w:val="2"/>
            <w:tcBorders>
              <w:tl2br w:val="nil"/>
              <w:tr2bl w:val="nil"/>
            </w:tcBorders>
            <w:vAlign w:val="center"/>
          </w:tcPr>
          <w:p w14:paraId="0DAAA97A">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提供2023年1月以来承担过的类似项目业绩，每提供1个得2分，最高得10分（注：类似项目业绩是指铁路专用线 /地方铁路可行性研究或勘察设计项目，项目负责人业绩可以和企业业绩共用，以合同或协议书为准，要求必须提供与最终用户签订的合同首页、合同金额所在页、签字盖章页、合同签订日期页的复印件作为证明）。</w:t>
            </w:r>
          </w:p>
        </w:tc>
      </w:tr>
      <w:tr w14:paraId="1127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jc w:val="center"/>
        </w:trPr>
        <w:tc>
          <w:tcPr>
            <w:tcW w:w="1206" w:type="dxa"/>
            <w:vMerge w:val="continue"/>
            <w:tcBorders>
              <w:tl2br w:val="nil"/>
              <w:tr2bl w:val="nil"/>
            </w:tcBorders>
            <w:vAlign w:val="center"/>
          </w:tcPr>
          <w:p w14:paraId="41D93A47">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1B796BE0">
            <w:pPr>
              <w:adjustRightInd w:val="0"/>
              <w:snapToGrid w:val="0"/>
              <w:spacing w:line="288" w:lineRule="auto"/>
              <w:jc w:val="center"/>
              <w:rPr>
                <w:rFonts w:hint="eastAsia" w:ascii="宋体" w:hAnsi="宋体" w:eastAsia="宋体" w:cs="宋体"/>
                <w:bCs/>
                <w:sz w:val="24"/>
                <w:szCs w:val="20"/>
              </w:rPr>
            </w:pPr>
            <w:r>
              <w:rPr>
                <w:rFonts w:hint="eastAsia" w:ascii="宋体" w:hAnsi="宋体" w:eastAsia="宋体" w:cs="宋体"/>
                <w:bCs/>
                <w:sz w:val="24"/>
                <w:szCs w:val="20"/>
              </w:rPr>
              <w:t>企业荣誉</w:t>
            </w:r>
          </w:p>
          <w:p w14:paraId="0B07DB0F">
            <w:pPr>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（4分）</w:t>
            </w:r>
          </w:p>
        </w:tc>
        <w:tc>
          <w:tcPr>
            <w:tcW w:w="6200" w:type="dxa"/>
            <w:gridSpan w:val="2"/>
            <w:tcBorders>
              <w:tl2br w:val="nil"/>
              <w:tr2bl w:val="nil"/>
            </w:tcBorders>
            <w:vAlign w:val="center"/>
          </w:tcPr>
          <w:p w14:paraId="4FB8FE82">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提供企业自2023年1月1日以来（以荣誉文件颁布时间为准）获得省级或省级以上铁路相关奖项。每提供1份得1分，最多得4分。</w:t>
            </w:r>
          </w:p>
          <w:p w14:paraId="03E91E14">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注：省级或省级以上（含协会）奖指：省级（或以上）行政主管部门或省级（或以上）行业协会（或学会）</w:t>
            </w:r>
          </w:p>
          <w:p w14:paraId="013228FE">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颁发的相关奖项。相同奖项不累计。</w:t>
            </w:r>
          </w:p>
        </w:tc>
      </w:tr>
      <w:tr w14:paraId="0752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206" w:type="dxa"/>
            <w:vMerge w:val="continue"/>
            <w:tcBorders>
              <w:tl2br w:val="nil"/>
              <w:tr2bl w:val="nil"/>
            </w:tcBorders>
            <w:vAlign w:val="center"/>
          </w:tcPr>
          <w:p w14:paraId="3607F818">
            <w:pPr>
              <w:adjustRightInd w:val="0"/>
              <w:snapToGrid w:val="0"/>
              <w:spacing w:line="288" w:lineRule="auto"/>
              <w:jc w:val="center"/>
              <w:rPr>
                <w:rFonts w:ascii="宋体" w:hAnsi="宋体" w:eastAsia="宋体" w:cs="宋体"/>
                <w:sz w:val="24"/>
              </w:rPr>
            </w:pPr>
          </w:p>
        </w:tc>
        <w:tc>
          <w:tcPr>
            <w:tcW w:w="1925" w:type="dxa"/>
            <w:tcBorders>
              <w:tl2br w:val="nil"/>
              <w:tr2bl w:val="nil"/>
            </w:tcBorders>
            <w:vAlign w:val="center"/>
          </w:tcPr>
          <w:p w14:paraId="3D132F81">
            <w:pPr>
              <w:adjustRightInd w:val="0"/>
              <w:snapToGrid w:val="0"/>
              <w:spacing w:line="288" w:lineRule="auto"/>
              <w:jc w:val="center"/>
              <w:rPr>
                <w:rFonts w:ascii="宋体" w:hAnsi="宋体" w:eastAsia="宋体" w:cs="宋体"/>
                <w:bCs/>
                <w:sz w:val="24"/>
                <w:szCs w:val="20"/>
              </w:rPr>
            </w:pPr>
            <w:r>
              <w:rPr>
                <w:rFonts w:hint="eastAsia" w:ascii="宋体" w:hAnsi="宋体" w:eastAsia="宋体" w:cs="宋体"/>
                <w:bCs/>
                <w:sz w:val="24"/>
                <w:szCs w:val="20"/>
              </w:rPr>
              <w:t>质量保证和能力（4分）</w:t>
            </w:r>
          </w:p>
        </w:tc>
        <w:tc>
          <w:tcPr>
            <w:tcW w:w="6200" w:type="dxa"/>
            <w:gridSpan w:val="2"/>
            <w:tcBorders>
              <w:tl2br w:val="nil"/>
              <w:tr2bl w:val="nil"/>
            </w:tcBorders>
            <w:vAlign w:val="center"/>
          </w:tcPr>
          <w:p w14:paraId="480272DD">
            <w:pPr>
              <w:adjustRightInd w:val="0"/>
              <w:snapToGrid w:val="0"/>
              <w:spacing w:line="288" w:lineRule="auto"/>
              <w:rPr>
                <w:rFonts w:ascii="宋体" w:hAnsi="宋体" w:eastAsia="宋体" w:cs="宋体"/>
                <w:bCs/>
                <w:sz w:val="24"/>
                <w:szCs w:val="20"/>
              </w:rPr>
            </w:pPr>
            <w:r>
              <w:rPr>
                <w:rFonts w:hint="eastAsia" w:ascii="宋体" w:hAnsi="宋体" w:eastAsia="宋体" w:cs="宋体"/>
                <w:bCs/>
                <w:sz w:val="24"/>
                <w:szCs w:val="20"/>
              </w:rPr>
              <w:t>投标人提供成果质量保证和能力（包括但不限于整体实力、可行性研究报告编制能力、创新能力、严格执行国家或行业规范和标准等）得4分，不提供不得分。</w:t>
            </w:r>
          </w:p>
        </w:tc>
      </w:tr>
    </w:tbl>
    <w:p w14:paraId="45A2AD30">
      <w:pPr>
        <w:spacing w:line="560" w:lineRule="exact"/>
        <w:rPr>
          <w:rFonts w:hint="eastAsia" w:ascii="宋体" w:hAnsi="宋体" w:cs="宋体"/>
          <w:b/>
          <w:sz w:val="24"/>
        </w:rPr>
      </w:pPr>
    </w:p>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22.7在竞争性磋商期间，供应商不得向竞争性磋商小组成员询问其它供应商竞争性磋商情况，不得进行旨在影响成交结果的活动。供应商须在响</w:t>
      </w:r>
      <w:r>
        <w:rPr>
          <w:rFonts w:hint="eastAsia" w:ascii="宋体" w:hAnsi="宋体" w:cs="宋体"/>
          <w:sz w:val="2"/>
          <w:szCs w:val="2"/>
          <w:vertAlign w:val="superscript"/>
        </w:rPr>
        <w:t xml:space="preserve">  </w:t>
      </w:r>
      <w:r>
        <w:rPr>
          <w:rFonts w:hint="eastAsia" w:ascii="宋体" w:hAnsi="宋体" w:cs="宋体"/>
          <w:sz w:val="24"/>
        </w:rPr>
        <w:t>应文件中保</w:t>
      </w:r>
      <w:r>
        <w:rPr>
          <w:rFonts w:hint="eastAsia" w:ascii="宋体" w:hAnsi="宋体" w:cs="宋体"/>
          <w:sz w:val="2"/>
          <w:szCs w:val="2"/>
          <w:vertAlign w:val="superscript"/>
        </w:rPr>
        <w:t xml:space="preserve">  </w:t>
      </w:r>
      <w:r>
        <w:rPr>
          <w:rFonts w:hint="eastAsia" w:ascii="宋体" w:hAnsi="宋体" w:cs="宋体"/>
          <w:sz w:val="24"/>
        </w:rPr>
        <w:t>证不在任何阶段干</w:t>
      </w:r>
      <w:r>
        <w:rPr>
          <w:rFonts w:hint="eastAsia" w:ascii="宋体" w:hAnsi="宋体" w:cs="宋体"/>
          <w:sz w:val="2"/>
          <w:szCs w:val="2"/>
          <w:vertAlign w:val="superscript"/>
        </w:rPr>
        <w:t xml:space="preserve">  </w:t>
      </w:r>
      <w:r>
        <w:rPr>
          <w:rFonts w:hint="eastAsia" w:ascii="宋体" w:hAnsi="宋体" w:cs="宋体"/>
          <w:sz w:val="24"/>
        </w:rPr>
        <w:t>扰项目工作。</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spacing w:line="560" w:lineRule="exact"/>
        <w:ind w:firstLine="482" w:firstLineChars="200"/>
        <w:jc w:val="both"/>
        <w:outlineLvl w:val="9"/>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648A1B">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27A56B3A">
      <w:pPr>
        <w:jc w:val="center"/>
        <w:rPr>
          <w:rFonts w:ascii="宋体" w:hAnsi="宋体" w:cs="宋体"/>
          <w:b/>
          <w:sz w:val="24"/>
        </w:rPr>
      </w:pPr>
      <w:r>
        <w:rPr>
          <w:rFonts w:hint="eastAsia" w:ascii="宋体" w:hAnsi="宋体" w:cs="宋体"/>
          <w:b/>
          <w:sz w:val="36"/>
          <w:szCs w:val="36"/>
        </w:rPr>
        <w:t>第三章 采购项目内容及要求</w:t>
      </w:r>
    </w:p>
    <w:p w14:paraId="52AA70B0">
      <w:pPr>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新建专用铁路拟从漯阜铁路接轨，线路引入规划郑郭港物流园园区和项城港区，并分别设装卸站1座，满足港口及周边企业货运需求。本次招标范围为该工程的接轨申请报告、可行性研究报告（不含专题）、初测、协助建设单位通过有关部门的审查。</w:t>
      </w:r>
    </w:p>
    <w:p w14:paraId="24609F1B">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2、服务内容及要求：</w:t>
      </w:r>
    </w:p>
    <w:p w14:paraId="29C499F7">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2.1服务要求：服务年限,在接到采购方服务请求后，1小时响应，2小时内上门解决问题；质保期内提供免费上门服务，质保期外的收费按相关行业规则或由双方协商收取。</w:t>
      </w:r>
    </w:p>
    <w:p w14:paraId="60FE5FF3">
      <w:pPr>
        <w:spacing w:beforeLines="0" w:afterLines="0"/>
        <w:rPr>
          <w:rFonts w:hint="default" w:ascii="仿宋_GB2312" w:hAnsi="Calibri" w:eastAsia="仿宋_GB2312" w:cs="Times New Roman"/>
          <w:b w:val="0"/>
          <w:kern w:val="2"/>
          <w:sz w:val="32"/>
          <w:szCs w:val="32"/>
          <w:u w:val="none"/>
          <w:lang w:val="en-US" w:eastAsia="zh-CN" w:bidi="ar-SA"/>
        </w:rPr>
      </w:pPr>
      <w:r>
        <w:rPr>
          <w:rFonts w:hint="eastAsia" w:ascii="仿宋_GB2312" w:hAnsi="Calibri" w:eastAsia="仿宋_GB2312" w:cs="Times New Roman"/>
          <w:b w:val="0"/>
          <w:kern w:val="2"/>
          <w:sz w:val="32"/>
          <w:szCs w:val="32"/>
          <w:u w:val="none"/>
          <w:lang w:val="en-US" w:eastAsia="zh-CN" w:bidi="ar-SA"/>
        </w:rPr>
        <w:t>2.2质量要求：达到国家或行业合格标准。</w:t>
      </w:r>
    </w:p>
    <w:p w14:paraId="76535352">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w:t>
      </w:r>
      <w:r>
        <w:rPr>
          <w:rFonts w:hint="eastAsia" w:ascii="仿宋_GB2312" w:hAnsi="Calibri" w:eastAsia="仿宋_GB2312" w:cs="Times New Roman"/>
          <w:b w:val="0"/>
          <w:kern w:val="2"/>
          <w:sz w:val="32"/>
          <w:szCs w:val="32"/>
          <w:u w:val="none"/>
          <w:lang w:val="en-US" w:eastAsia="zh-CN" w:bidi="ar-SA"/>
        </w:rPr>
        <w:t>3服务</w:t>
      </w:r>
      <w:r>
        <w:rPr>
          <w:rFonts w:hint="eastAsia" w:ascii="仿宋_GB2312" w:hAnsi="Calibri" w:eastAsia="仿宋_GB2312" w:cs="Times New Roman"/>
          <w:b w:val="0"/>
          <w:kern w:val="2"/>
          <w:sz w:val="32"/>
          <w:szCs w:val="32"/>
          <w:u w:val="none"/>
          <w:lang w:val="zh-CN" w:eastAsia="zh-CN" w:bidi="ar-SA"/>
        </w:rPr>
        <w:t>地点：采购人指定地点。</w:t>
      </w:r>
    </w:p>
    <w:p w14:paraId="75B072A3">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w:t>
      </w:r>
      <w:r>
        <w:rPr>
          <w:rFonts w:hint="eastAsia" w:ascii="仿宋_GB2312" w:hAnsi="Calibri" w:eastAsia="仿宋_GB2312" w:cs="Times New Roman"/>
          <w:b w:val="0"/>
          <w:kern w:val="2"/>
          <w:sz w:val="32"/>
          <w:szCs w:val="32"/>
          <w:u w:val="none"/>
          <w:lang w:val="en-US" w:eastAsia="zh-CN" w:bidi="ar-SA"/>
        </w:rPr>
        <w:t>4服务</w:t>
      </w:r>
      <w:r>
        <w:rPr>
          <w:rFonts w:hint="eastAsia" w:ascii="仿宋_GB2312" w:hAnsi="Calibri" w:eastAsia="仿宋_GB2312" w:cs="Times New Roman"/>
          <w:b w:val="0"/>
          <w:kern w:val="2"/>
          <w:sz w:val="32"/>
          <w:szCs w:val="32"/>
          <w:u w:val="none"/>
          <w:lang w:val="zh-CN" w:eastAsia="zh-CN" w:bidi="ar-SA"/>
        </w:rPr>
        <w:t>日期：</w:t>
      </w:r>
      <w:r>
        <w:rPr>
          <w:rFonts w:hint="eastAsia" w:ascii="仿宋_GB2312" w:hAnsi="Calibri" w:eastAsia="仿宋_GB2312" w:cs="Times New Roman"/>
          <w:b w:val="0"/>
          <w:kern w:val="2"/>
          <w:sz w:val="32"/>
          <w:szCs w:val="32"/>
          <w:u w:val="none"/>
          <w:lang w:val="en-US" w:eastAsia="zh-CN" w:bidi="ar-SA"/>
        </w:rPr>
        <w:t>30天</w:t>
      </w:r>
      <w:r>
        <w:rPr>
          <w:rFonts w:hint="eastAsia" w:ascii="仿宋_GB2312" w:hAnsi="Calibri" w:eastAsia="仿宋_GB2312" w:cs="Times New Roman"/>
          <w:b w:val="0"/>
          <w:kern w:val="2"/>
          <w:sz w:val="32"/>
          <w:szCs w:val="32"/>
          <w:u w:val="none"/>
          <w:lang w:val="zh-CN" w:eastAsia="zh-CN" w:bidi="ar-SA"/>
        </w:rPr>
        <w:t>。</w:t>
      </w:r>
    </w:p>
    <w:p w14:paraId="0D2ACF2E">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w:t>
      </w:r>
      <w:r>
        <w:rPr>
          <w:rFonts w:hint="eastAsia" w:ascii="仿宋_GB2312" w:hAnsi="Calibri" w:eastAsia="仿宋_GB2312" w:cs="Times New Roman"/>
          <w:b w:val="0"/>
          <w:kern w:val="2"/>
          <w:sz w:val="32"/>
          <w:szCs w:val="32"/>
          <w:u w:val="none"/>
          <w:lang w:val="en-US" w:eastAsia="zh-CN" w:bidi="ar-SA"/>
        </w:rPr>
        <w:t>5</w:t>
      </w:r>
      <w:r>
        <w:rPr>
          <w:rFonts w:hint="eastAsia" w:ascii="仿宋_GB2312" w:hAnsi="Calibri" w:eastAsia="仿宋_GB2312" w:cs="Times New Roman"/>
          <w:b w:val="0"/>
          <w:kern w:val="2"/>
          <w:sz w:val="32"/>
          <w:szCs w:val="32"/>
          <w:u w:val="none"/>
          <w:lang w:val="zh-CN" w:eastAsia="zh-CN" w:bidi="ar-SA"/>
        </w:rPr>
        <w:t>验收：由最终用户组织验收。</w:t>
      </w:r>
    </w:p>
    <w:p w14:paraId="71E35338">
      <w:pPr>
        <w:spacing w:beforeLines="0" w:afterLines="0"/>
        <w:rPr>
          <w:rFonts w:hint="default" w:ascii="仿宋_GB2312" w:hAnsi="Calibri" w:eastAsia="仿宋_GB2312" w:cs="Times New Roman"/>
          <w:b w:val="0"/>
          <w:kern w:val="2"/>
          <w:sz w:val="32"/>
          <w:szCs w:val="32"/>
          <w:u w:val="none"/>
          <w:lang w:val="en-US" w:eastAsia="zh-CN" w:bidi="ar-SA"/>
        </w:rPr>
      </w:pPr>
      <w:r>
        <w:rPr>
          <w:rFonts w:hint="eastAsia" w:ascii="仿宋_GB2312" w:hAnsi="Calibri" w:eastAsia="仿宋_GB2312" w:cs="Times New Roman"/>
          <w:b w:val="0"/>
          <w:kern w:val="2"/>
          <w:sz w:val="32"/>
          <w:szCs w:val="32"/>
          <w:u w:val="none"/>
          <w:lang w:val="en-US" w:eastAsia="zh-CN" w:bidi="ar-SA"/>
        </w:rPr>
        <w:t>2.6对其提供的产品需出具《关于符合本国产品标准的声明函》或财政部会同有关部门规定的有关证明文件。</w:t>
      </w:r>
    </w:p>
    <w:p w14:paraId="3E5AC3D8">
      <w:pPr>
        <w:spacing w:after="120" w:line="415" w:lineRule="auto"/>
        <w:ind w:firstLine="480" w:firstLineChars="200"/>
        <w:jc w:val="center"/>
        <w:rPr>
          <w:rStyle w:val="66"/>
          <w:rFonts w:ascii="宋体" w:hAnsi="宋体" w:cs="宋体"/>
          <w:color w:val="000000"/>
          <w:sz w:val="24"/>
          <w:lang w:val="zh-CN"/>
        </w:rPr>
      </w:pPr>
    </w:p>
    <w:p w14:paraId="3B180EC9">
      <w:pPr>
        <w:pStyle w:val="35"/>
        <w:ind w:firstLine="210"/>
        <w:rPr>
          <w:rStyle w:val="66"/>
          <w:color w:val="000000"/>
          <w:lang w:val="zh-CN"/>
        </w:rPr>
      </w:pPr>
    </w:p>
    <w:p w14:paraId="24FBFC47">
      <w:pPr>
        <w:pStyle w:val="35"/>
        <w:ind w:firstLine="240"/>
        <w:rPr>
          <w:rFonts w:ascii="宋体" w:hAnsi="宋体" w:cs="宋体"/>
          <w:sz w:val="24"/>
        </w:rPr>
      </w:pPr>
    </w:p>
    <w:p w14:paraId="7209FFAA">
      <w:pPr>
        <w:pStyle w:val="35"/>
        <w:ind w:firstLine="240"/>
        <w:rPr>
          <w:rFonts w:ascii="宋体" w:hAnsi="宋体" w:cs="宋体"/>
          <w:sz w:val="24"/>
        </w:rPr>
      </w:pPr>
    </w:p>
    <w:p w14:paraId="24A9A728">
      <w:pPr>
        <w:pStyle w:val="35"/>
        <w:ind w:firstLine="240"/>
        <w:rPr>
          <w:rFonts w:ascii="宋体" w:hAnsi="宋体" w:cs="宋体"/>
          <w:sz w:val="24"/>
        </w:rPr>
      </w:pPr>
    </w:p>
    <w:p w14:paraId="1F1FE735">
      <w:pPr>
        <w:pStyle w:val="35"/>
        <w:ind w:firstLine="240"/>
        <w:rPr>
          <w:rFonts w:ascii="宋体" w:hAnsi="宋体" w:cs="宋体"/>
          <w:sz w:val="24"/>
        </w:rPr>
      </w:pPr>
    </w:p>
    <w:p w14:paraId="04A20EBA">
      <w:pPr>
        <w:pStyle w:val="35"/>
        <w:ind w:firstLine="240"/>
        <w:rPr>
          <w:rFonts w:ascii="宋体" w:hAnsi="宋体" w:cs="宋体"/>
          <w:sz w:val="24"/>
        </w:rPr>
      </w:pPr>
    </w:p>
    <w:p w14:paraId="581BB3AF">
      <w:pPr>
        <w:pStyle w:val="35"/>
        <w:ind w:firstLine="240"/>
        <w:rPr>
          <w:rFonts w:ascii="宋体" w:hAnsi="宋体" w:cs="宋体"/>
          <w:sz w:val="24"/>
        </w:rPr>
      </w:pPr>
    </w:p>
    <w:p w14:paraId="5034B579">
      <w:pPr>
        <w:spacing w:line="480" w:lineRule="auto"/>
        <w:jc w:val="center"/>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注：请供应商按照以下文件的要求格式、内容，顺序制作响应性文件，并编制目录及页码</w:t>
      </w:r>
      <w:r>
        <w:rPr>
          <w:rFonts w:hint="eastAsia" w:ascii="宋体" w:hAnsi="宋体" w:cs="宋体"/>
          <w:sz w:val="24"/>
          <w:lang w:val="en-US" w:eastAsia="zh-CN"/>
        </w:rPr>
        <w:t>和总页码</w:t>
      </w:r>
      <w:r>
        <w:rPr>
          <w:rFonts w:hint="eastAsia" w:ascii="宋体" w:hAnsi="宋体" w:cs="宋体"/>
          <w:sz w:val="24"/>
        </w:rPr>
        <w:t xml:space="preserve">，否则可能将影响对响应性文件的评价。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12"/>
        <w:ind w:firstLine="480"/>
        <w:rPr>
          <w:rFonts w:ascii="宋体" w:hAnsi="宋体" w:eastAsia="宋体" w:cs="宋体"/>
          <w:sz w:val="24"/>
        </w:rPr>
      </w:pPr>
    </w:p>
    <w:p w14:paraId="62C1850F">
      <w:pPr>
        <w:pStyle w:val="12"/>
        <w:ind w:firstLine="480"/>
        <w:rPr>
          <w:rFonts w:ascii="宋体" w:hAnsi="宋体" w:eastAsia="宋体" w:cs="宋体"/>
          <w:sz w:val="24"/>
        </w:rPr>
      </w:pPr>
    </w:p>
    <w:p w14:paraId="351A7454">
      <w:pPr>
        <w:pStyle w:val="12"/>
        <w:ind w:firstLine="480"/>
        <w:rPr>
          <w:rFonts w:ascii="宋体" w:hAnsi="宋体" w:eastAsia="宋体" w:cs="宋体"/>
          <w:sz w:val="24"/>
        </w:rPr>
      </w:pPr>
    </w:p>
    <w:p w14:paraId="52ED9939">
      <w:pPr>
        <w:pStyle w:val="12"/>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12"/>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12"/>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5"/>
        <w:ind w:firstLine="210"/>
      </w:pPr>
    </w:p>
    <w:p w14:paraId="7D9E28EC">
      <w:pPr>
        <w:spacing w:line="360" w:lineRule="auto"/>
        <w:jc w:val="left"/>
        <w:rPr>
          <w:rFonts w:hint="eastAsia" w:ascii="宋体" w:hAnsi="宋体" w:cs="宋体"/>
          <w:sz w:val="24"/>
        </w:rPr>
      </w:pPr>
    </w:p>
    <w:p w14:paraId="75D47A47">
      <w:pPr>
        <w:spacing w:line="360" w:lineRule="auto"/>
        <w:jc w:val="left"/>
        <w:rPr>
          <w:rFonts w:hint="eastAsia" w:ascii="宋体" w:hAnsi="宋体" w:cs="宋体"/>
          <w:sz w:val="24"/>
        </w:rPr>
      </w:pPr>
    </w:p>
    <w:p w14:paraId="1655F581">
      <w:pPr>
        <w:spacing w:line="360" w:lineRule="auto"/>
        <w:jc w:val="left"/>
        <w:rPr>
          <w:rFonts w:hint="eastAsia" w:ascii="宋体" w:hAnsi="宋体" w:cs="宋体"/>
          <w:sz w:val="24"/>
        </w:rPr>
      </w:pPr>
    </w:p>
    <w:p w14:paraId="01E6C2F1">
      <w:pPr>
        <w:spacing w:line="360" w:lineRule="auto"/>
        <w:jc w:val="left"/>
        <w:rPr>
          <w:rFonts w:hint="eastAsia" w:ascii="宋体" w:hAnsi="宋体" w:cs="宋体"/>
          <w:sz w:val="24"/>
        </w:rPr>
      </w:pPr>
    </w:p>
    <w:p w14:paraId="5CE363BC">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5"/>
        <w:ind w:firstLine="240"/>
        <w:rPr>
          <w:rFonts w:ascii="宋体" w:hAnsi="宋体" w:cs="宋体"/>
          <w:sz w:val="24"/>
        </w:rPr>
      </w:pPr>
    </w:p>
    <w:p w14:paraId="2A932BBC">
      <w:pPr>
        <w:pStyle w:val="35"/>
        <w:ind w:left="0" w:leftChars="0" w:firstLine="0" w:firstLineChars="0"/>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5"/>
        <w:ind w:firstLine="210"/>
      </w:pPr>
    </w:p>
    <w:p w14:paraId="3D0F2F88">
      <w:pPr>
        <w:pStyle w:val="35"/>
        <w:ind w:firstLine="210"/>
      </w:pPr>
    </w:p>
    <w:p w14:paraId="0A9F573E">
      <w:pPr>
        <w:pStyle w:val="35"/>
        <w:ind w:firstLine="210"/>
      </w:pPr>
    </w:p>
    <w:p w14:paraId="1DE2890B">
      <w:pPr>
        <w:pStyle w:val="35"/>
        <w:ind w:firstLine="210"/>
      </w:pPr>
    </w:p>
    <w:p w14:paraId="16B02239">
      <w:pPr>
        <w:pStyle w:val="35"/>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4E0F062D">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16202B53">
      <w:pPr>
        <w:spacing w:line="360" w:lineRule="auto"/>
        <w:jc w:val="left"/>
        <w:rPr>
          <w:rFonts w:ascii="宋体" w:hAnsi="宋体" w:cs="宋体"/>
          <w:sz w:val="24"/>
        </w:rPr>
      </w:pPr>
    </w:p>
    <w:p w14:paraId="11D02FA1">
      <w:pPr>
        <w:spacing w:line="360" w:lineRule="auto"/>
        <w:jc w:val="left"/>
        <w:rPr>
          <w:rFonts w:hint="eastAsia" w:ascii="宋体" w:hAnsi="宋体" w:cs="宋体"/>
          <w:sz w:val="24"/>
        </w:rPr>
      </w:pPr>
    </w:p>
    <w:p w14:paraId="7466E94D">
      <w:pPr>
        <w:spacing w:line="360" w:lineRule="auto"/>
        <w:jc w:val="left"/>
        <w:rPr>
          <w:rFonts w:hint="eastAsia" w:ascii="宋体" w:hAnsi="宋体" w:cs="宋体"/>
          <w:sz w:val="24"/>
        </w:rPr>
      </w:pPr>
    </w:p>
    <w:p w14:paraId="5DF8DD4A">
      <w:pPr>
        <w:spacing w:line="360" w:lineRule="auto"/>
        <w:jc w:val="left"/>
        <w:rPr>
          <w:rFonts w:hint="eastAsia" w:ascii="宋体" w:hAnsi="宋体" w:cs="宋体"/>
          <w:sz w:val="24"/>
        </w:rPr>
      </w:pPr>
    </w:p>
    <w:p w14:paraId="7FE59AB6">
      <w:pPr>
        <w:spacing w:line="360" w:lineRule="auto"/>
        <w:jc w:val="left"/>
        <w:rPr>
          <w:rFonts w:hint="eastAsia" w:ascii="宋体" w:hAnsi="宋体" w:cs="宋体"/>
          <w:sz w:val="24"/>
        </w:rPr>
      </w:pPr>
    </w:p>
    <w:p w14:paraId="69AE650D">
      <w:pPr>
        <w:spacing w:line="360" w:lineRule="auto"/>
        <w:jc w:val="left"/>
        <w:rPr>
          <w:rFonts w:hint="eastAsia" w:ascii="宋体" w:hAnsi="宋体" w:cs="宋体"/>
          <w:sz w:val="24"/>
        </w:rPr>
      </w:pPr>
    </w:p>
    <w:p w14:paraId="25F269EB">
      <w:pPr>
        <w:spacing w:line="360" w:lineRule="auto"/>
        <w:jc w:val="left"/>
        <w:rPr>
          <w:rFonts w:hint="eastAsia" w:ascii="宋体" w:hAnsi="宋体" w:cs="宋体"/>
          <w:sz w:val="24"/>
        </w:rPr>
      </w:pPr>
    </w:p>
    <w:p w14:paraId="49CE10EC">
      <w:pPr>
        <w:spacing w:line="360" w:lineRule="auto"/>
        <w:jc w:val="left"/>
        <w:rPr>
          <w:rFonts w:hint="eastAsia" w:ascii="宋体" w:hAnsi="宋体" w:cs="宋体"/>
          <w:sz w:val="24"/>
        </w:rPr>
      </w:pPr>
    </w:p>
    <w:p w14:paraId="060EFC87">
      <w:pPr>
        <w:spacing w:line="360" w:lineRule="auto"/>
        <w:jc w:val="left"/>
        <w:rPr>
          <w:rFonts w:hint="eastAsia" w:ascii="宋体" w:hAnsi="宋体" w:cs="宋体"/>
          <w:sz w:val="24"/>
        </w:rPr>
      </w:pPr>
    </w:p>
    <w:p w14:paraId="2FA1167D">
      <w:pPr>
        <w:spacing w:line="360" w:lineRule="auto"/>
        <w:jc w:val="left"/>
        <w:rPr>
          <w:rFonts w:hint="eastAsia" w:ascii="宋体" w:hAnsi="宋体" w:cs="宋体"/>
          <w:sz w:val="24"/>
        </w:rPr>
      </w:pPr>
    </w:p>
    <w:p w14:paraId="3E2D5A78">
      <w:pPr>
        <w:spacing w:line="360" w:lineRule="auto"/>
        <w:jc w:val="left"/>
        <w:rPr>
          <w:rFonts w:hint="eastAsia" w:ascii="宋体" w:hAnsi="宋体" w:cs="宋体"/>
          <w:sz w:val="24"/>
        </w:rPr>
      </w:pPr>
    </w:p>
    <w:p w14:paraId="6C353C18">
      <w:pPr>
        <w:spacing w:line="360" w:lineRule="auto"/>
        <w:jc w:val="left"/>
        <w:rPr>
          <w:rFonts w:hint="eastAsia" w:ascii="宋体" w:hAnsi="宋体" w:cs="宋体"/>
          <w:sz w:val="24"/>
        </w:rPr>
      </w:pPr>
    </w:p>
    <w:p w14:paraId="68B16E9E">
      <w:pPr>
        <w:spacing w:line="360" w:lineRule="auto"/>
        <w:jc w:val="left"/>
        <w:rPr>
          <w:rFonts w:hint="eastAsia" w:ascii="宋体" w:hAnsi="宋体" w:cs="宋体"/>
          <w:sz w:val="24"/>
        </w:rPr>
      </w:pPr>
    </w:p>
    <w:p w14:paraId="054AD376">
      <w:pPr>
        <w:spacing w:line="360" w:lineRule="auto"/>
        <w:jc w:val="left"/>
        <w:rPr>
          <w:rFonts w:hint="eastAsia" w:ascii="宋体" w:hAnsi="宋体" w:cs="宋体"/>
          <w:sz w:val="24"/>
        </w:rPr>
      </w:pPr>
    </w:p>
    <w:p w14:paraId="5D735F73">
      <w:pPr>
        <w:spacing w:line="360" w:lineRule="auto"/>
        <w:jc w:val="left"/>
        <w:rPr>
          <w:rFonts w:hint="eastAsia" w:ascii="宋体" w:hAnsi="宋体" w:cs="宋体"/>
          <w:sz w:val="24"/>
        </w:rPr>
      </w:pPr>
    </w:p>
    <w:p w14:paraId="6F0ADD44">
      <w:pPr>
        <w:spacing w:line="360" w:lineRule="auto"/>
        <w:jc w:val="left"/>
        <w:rPr>
          <w:rFonts w:hint="eastAsia" w:ascii="宋体" w:hAnsi="宋体" w:cs="宋体"/>
          <w:sz w:val="24"/>
        </w:rPr>
      </w:pPr>
    </w:p>
    <w:p w14:paraId="50A1CA71">
      <w:pPr>
        <w:spacing w:line="360" w:lineRule="auto"/>
        <w:jc w:val="left"/>
        <w:rPr>
          <w:rFonts w:hint="eastAsia" w:ascii="宋体" w:hAnsi="宋体" w:cs="宋体"/>
          <w:sz w:val="24"/>
        </w:rPr>
      </w:pPr>
    </w:p>
    <w:p w14:paraId="21AA78E6">
      <w:pPr>
        <w:spacing w:line="360" w:lineRule="auto"/>
        <w:jc w:val="left"/>
        <w:rPr>
          <w:rFonts w:hint="eastAsia" w:ascii="宋体" w:hAnsi="宋体" w:cs="宋体"/>
          <w:sz w:val="24"/>
        </w:rPr>
      </w:pPr>
    </w:p>
    <w:p w14:paraId="1521D08B">
      <w:pPr>
        <w:spacing w:line="360" w:lineRule="auto"/>
        <w:jc w:val="left"/>
        <w:rPr>
          <w:rFonts w:hint="eastAsia" w:ascii="宋体" w:hAnsi="宋体" w:cs="宋体"/>
          <w:sz w:val="24"/>
        </w:rPr>
      </w:pPr>
    </w:p>
    <w:p w14:paraId="25590256">
      <w:pPr>
        <w:spacing w:line="360" w:lineRule="auto"/>
        <w:jc w:val="left"/>
        <w:rPr>
          <w:rFonts w:hint="eastAsia" w:ascii="宋体" w:hAnsi="宋体" w:cs="宋体"/>
          <w:sz w:val="24"/>
        </w:rPr>
      </w:pPr>
    </w:p>
    <w:p w14:paraId="1C95F106">
      <w:pPr>
        <w:spacing w:line="360" w:lineRule="auto"/>
        <w:jc w:val="left"/>
        <w:rPr>
          <w:rFonts w:hint="eastAsia" w:ascii="宋体" w:hAnsi="宋体" w:cs="宋体"/>
          <w:sz w:val="24"/>
        </w:rPr>
      </w:pPr>
    </w:p>
    <w:p w14:paraId="2C1FBC9D">
      <w:pPr>
        <w:spacing w:line="360" w:lineRule="auto"/>
        <w:jc w:val="left"/>
        <w:rPr>
          <w:rFonts w:hint="eastAsia" w:ascii="宋体" w:hAnsi="宋体" w:cs="宋体"/>
          <w:sz w:val="24"/>
        </w:rPr>
      </w:pPr>
    </w:p>
    <w:p w14:paraId="5E650D62">
      <w:pPr>
        <w:spacing w:line="360" w:lineRule="auto"/>
        <w:jc w:val="left"/>
        <w:rPr>
          <w:rFonts w:hint="eastAsia" w:ascii="宋体" w:hAnsi="宋体" w:cs="宋体"/>
          <w:sz w:val="24"/>
        </w:rPr>
      </w:pPr>
    </w:p>
    <w:p w14:paraId="7AD9AEC0">
      <w:pPr>
        <w:spacing w:line="360" w:lineRule="auto"/>
        <w:jc w:val="left"/>
        <w:rPr>
          <w:rFonts w:hint="eastAsia" w:ascii="宋体" w:hAnsi="宋体" w:cs="宋体"/>
          <w:sz w:val="24"/>
        </w:rPr>
      </w:pPr>
    </w:p>
    <w:p w14:paraId="6E2E4005">
      <w:pPr>
        <w:spacing w:line="360" w:lineRule="auto"/>
        <w:jc w:val="left"/>
        <w:rPr>
          <w:rFonts w:hint="eastAsia" w:ascii="宋体" w:hAnsi="宋体" w:cs="宋体"/>
          <w:sz w:val="24"/>
        </w:rPr>
      </w:pPr>
    </w:p>
    <w:p w14:paraId="570873A3">
      <w:pPr>
        <w:spacing w:line="360" w:lineRule="auto"/>
        <w:jc w:val="left"/>
        <w:rPr>
          <w:rFonts w:hint="eastAsia" w:ascii="宋体" w:hAnsi="宋体" w:cs="宋体"/>
          <w:sz w:val="24"/>
        </w:rPr>
      </w:pPr>
    </w:p>
    <w:p w14:paraId="5FBB86CA">
      <w:pPr>
        <w:spacing w:line="360" w:lineRule="auto"/>
        <w:jc w:val="left"/>
        <w:rPr>
          <w:rFonts w:hint="eastAsia"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5"/>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6" w:name="_Toc495414234"/>
      <w:bookmarkStart w:id="37" w:name="_Toc220232409"/>
    </w:p>
    <w:p w14:paraId="44DCC5E5">
      <w:pPr>
        <w:pStyle w:val="35"/>
        <w:ind w:firstLine="240"/>
        <w:rPr>
          <w:rFonts w:ascii="宋体" w:hAnsi="宋体" w:cs="宋体"/>
          <w:sz w:val="24"/>
        </w:rPr>
      </w:pPr>
    </w:p>
    <w:p w14:paraId="64A0C0AD">
      <w:pPr>
        <w:pStyle w:val="35"/>
        <w:ind w:firstLine="240"/>
        <w:rPr>
          <w:rFonts w:ascii="宋体" w:hAnsi="宋体" w:cs="宋体"/>
          <w:sz w:val="24"/>
        </w:rPr>
      </w:pPr>
    </w:p>
    <w:p w14:paraId="060C9F91">
      <w:pPr>
        <w:pStyle w:val="35"/>
        <w:ind w:firstLine="240"/>
        <w:rPr>
          <w:rFonts w:ascii="宋体" w:hAnsi="宋体" w:cs="宋体"/>
          <w:sz w:val="24"/>
        </w:rPr>
      </w:pPr>
    </w:p>
    <w:p w14:paraId="2D5234AD">
      <w:pPr>
        <w:pStyle w:val="35"/>
        <w:ind w:firstLine="240"/>
        <w:rPr>
          <w:rFonts w:ascii="宋体" w:hAnsi="宋体" w:cs="宋体"/>
          <w:sz w:val="24"/>
        </w:rPr>
      </w:pPr>
    </w:p>
    <w:p w14:paraId="45BB90C3">
      <w:pPr>
        <w:pStyle w:val="35"/>
        <w:ind w:firstLine="240"/>
        <w:rPr>
          <w:rFonts w:ascii="宋体" w:hAnsi="宋体" w:cs="宋体"/>
          <w:sz w:val="24"/>
        </w:rPr>
      </w:pPr>
    </w:p>
    <w:p w14:paraId="47AD605B">
      <w:pPr>
        <w:pStyle w:val="35"/>
        <w:ind w:firstLine="240"/>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5"/>
        <w:ind w:firstLine="241"/>
        <w:rPr>
          <w:rFonts w:ascii="宋体" w:hAnsi="宋体" w:cs="宋体"/>
          <w:b/>
          <w:sz w:val="24"/>
        </w:rPr>
      </w:pPr>
    </w:p>
    <w:p w14:paraId="17E2AD9F">
      <w:pPr>
        <w:pStyle w:val="35"/>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5"/>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5"/>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12"/>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232D7133">
      <w:pPr>
        <w:spacing w:line="380" w:lineRule="exact"/>
        <w:jc w:val="both"/>
        <w:rPr>
          <w:rFonts w:hint="eastAsia" w:ascii="宋体" w:hAnsi="宋体" w:cs="宋体"/>
          <w:sz w:val="24"/>
        </w:rPr>
      </w:pPr>
      <w:r>
        <w:rPr>
          <w:rFonts w:hint="eastAsia" w:ascii="宋体" w:hAnsi="宋体" w:cs="宋体"/>
          <w:sz w:val="24"/>
        </w:rPr>
        <w:t>格式9</w:t>
      </w:r>
    </w:p>
    <w:p w14:paraId="520FEE73">
      <w:pPr>
        <w:spacing w:line="380" w:lineRule="exact"/>
        <w:jc w:val="center"/>
        <w:rPr>
          <w:rFonts w:ascii="宋体" w:hAnsi="宋体" w:cs="宋体"/>
          <w:sz w:val="24"/>
        </w:rPr>
      </w:pPr>
      <w:r>
        <w:rPr>
          <w:rFonts w:hint="eastAsia" w:ascii="宋体" w:hAnsi="宋体" w:cs="宋体"/>
          <w:sz w:val="24"/>
        </w:rPr>
        <w:t>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5"/>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5"/>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5"/>
      </w:pPr>
    </w:p>
    <w:p w14:paraId="6BCEA613">
      <w:pPr>
        <w:spacing w:line="360" w:lineRule="auto"/>
        <w:rPr>
          <w:rFonts w:ascii="宋体" w:hAnsi="宋体" w:cs="宋体"/>
          <w:sz w:val="24"/>
        </w:rPr>
      </w:pPr>
    </w:p>
    <w:p w14:paraId="3B2F4C8A">
      <w:pPr>
        <w:spacing w:line="360" w:lineRule="auto"/>
        <w:rPr>
          <w:rFonts w:hint="eastAsia" w:ascii="宋体" w:hAnsi="宋体" w:cs="宋体"/>
          <w:sz w:val="24"/>
        </w:rPr>
      </w:pPr>
    </w:p>
    <w:p w14:paraId="4DB07F7E">
      <w:pPr>
        <w:spacing w:line="360" w:lineRule="auto"/>
        <w:rPr>
          <w:rFonts w:hint="eastAsia" w:ascii="宋体" w:hAnsi="宋体" w:cs="宋体"/>
          <w:sz w:val="24"/>
        </w:rPr>
      </w:pPr>
      <w:r>
        <w:rPr>
          <w:rFonts w:hint="eastAsia" w:ascii="宋体" w:hAnsi="宋体" w:cs="宋体"/>
          <w:sz w:val="24"/>
        </w:rPr>
        <w:t>格式10</w:t>
      </w:r>
    </w:p>
    <w:p w14:paraId="71C61651">
      <w:pPr>
        <w:spacing w:line="360" w:lineRule="auto"/>
        <w:jc w:val="center"/>
        <w:rPr>
          <w:rFonts w:ascii="宋体" w:hAnsi="宋体" w:cs="宋体"/>
          <w:sz w:val="24"/>
        </w:rPr>
      </w:pPr>
      <w:r>
        <w:rPr>
          <w:rFonts w:hint="eastAsia" w:ascii="宋体" w:hAnsi="宋体" w:cs="宋体"/>
          <w:sz w:val="24"/>
        </w:rPr>
        <w:t>其他资料</w:t>
      </w:r>
    </w:p>
    <w:p w14:paraId="0F0BEA87">
      <w:pPr>
        <w:spacing w:line="360" w:lineRule="auto"/>
        <w:rPr>
          <w:rFonts w:hint="eastAsia" w:ascii="宋体" w:hAnsi="宋体" w:cs="宋体"/>
          <w:sz w:val="24"/>
        </w:rPr>
      </w:pPr>
    </w:p>
    <w:p w14:paraId="44AB5410">
      <w:pPr>
        <w:spacing w:line="360" w:lineRule="auto"/>
        <w:rPr>
          <w:rFonts w:hint="eastAsia" w:ascii="宋体" w:hAnsi="宋体" w:cs="宋体"/>
          <w:sz w:val="24"/>
        </w:rPr>
      </w:pPr>
    </w:p>
    <w:p w14:paraId="4C65BCB7">
      <w:pPr>
        <w:spacing w:line="360" w:lineRule="auto"/>
        <w:rPr>
          <w:rFonts w:hint="eastAsia" w:ascii="宋体" w:hAnsi="宋体" w:cs="宋体"/>
          <w:sz w:val="24"/>
        </w:rPr>
      </w:pPr>
    </w:p>
    <w:p w14:paraId="5F1F4C08">
      <w:pPr>
        <w:spacing w:line="360" w:lineRule="auto"/>
        <w:rPr>
          <w:rFonts w:hint="eastAsia" w:ascii="宋体" w:hAnsi="宋体" w:cs="宋体"/>
          <w:sz w:val="24"/>
        </w:rPr>
      </w:pPr>
    </w:p>
    <w:p w14:paraId="1B80582C">
      <w:pPr>
        <w:spacing w:line="360" w:lineRule="auto"/>
        <w:rPr>
          <w:rFonts w:hint="eastAsia" w:ascii="宋体" w:hAnsi="宋体" w:cs="宋体"/>
          <w:sz w:val="24"/>
        </w:rPr>
      </w:pPr>
    </w:p>
    <w:p w14:paraId="66220B80">
      <w:pPr>
        <w:spacing w:line="360" w:lineRule="auto"/>
        <w:rPr>
          <w:rFonts w:hint="eastAsia" w:ascii="宋体" w:hAnsi="宋体" w:cs="宋体"/>
          <w:sz w:val="24"/>
        </w:rPr>
      </w:pPr>
    </w:p>
    <w:p w14:paraId="0422BF0A">
      <w:pPr>
        <w:spacing w:line="360" w:lineRule="auto"/>
        <w:rPr>
          <w:rFonts w:hint="eastAsia" w:ascii="宋体" w:hAnsi="宋体" w:cs="宋体"/>
          <w:sz w:val="24"/>
        </w:rPr>
      </w:pPr>
    </w:p>
    <w:p w14:paraId="21D920C4">
      <w:pPr>
        <w:spacing w:line="360" w:lineRule="auto"/>
        <w:rPr>
          <w:rFonts w:hint="eastAsia" w:ascii="宋体" w:hAnsi="宋体" w:cs="宋体"/>
          <w:sz w:val="24"/>
        </w:rPr>
      </w:pPr>
    </w:p>
    <w:p w14:paraId="3910F0B8">
      <w:pPr>
        <w:spacing w:line="360" w:lineRule="auto"/>
        <w:rPr>
          <w:rFonts w:hint="eastAsia" w:ascii="宋体" w:hAnsi="宋体" w:cs="宋体"/>
          <w:sz w:val="24"/>
        </w:rPr>
      </w:pPr>
    </w:p>
    <w:p w14:paraId="1A13B2E3">
      <w:pPr>
        <w:spacing w:line="360" w:lineRule="auto"/>
        <w:rPr>
          <w:rFonts w:hint="eastAsia" w:ascii="宋体" w:hAnsi="宋体" w:cs="宋体"/>
          <w:sz w:val="24"/>
        </w:rPr>
      </w:pPr>
    </w:p>
    <w:p w14:paraId="698CBAB4">
      <w:pPr>
        <w:spacing w:line="360" w:lineRule="auto"/>
        <w:rPr>
          <w:rFonts w:hint="eastAsia" w:ascii="宋体" w:hAnsi="宋体" w:cs="宋体"/>
          <w:sz w:val="24"/>
        </w:rPr>
      </w:pPr>
    </w:p>
    <w:p w14:paraId="7C2E26B6">
      <w:pPr>
        <w:spacing w:line="360" w:lineRule="auto"/>
        <w:rPr>
          <w:rFonts w:hint="eastAsia" w:ascii="宋体" w:hAnsi="宋体" w:cs="宋体"/>
          <w:sz w:val="24"/>
        </w:rPr>
      </w:pPr>
    </w:p>
    <w:p w14:paraId="1DB00C80">
      <w:pPr>
        <w:spacing w:line="360" w:lineRule="auto"/>
        <w:rPr>
          <w:rFonts w:hint="eastAsia" w:ascii="宋体" w:hAnsi="宋体" w:cs="宋体"/>
          <w:sz w:val="24"/>
        </w:rPr>
      </w:pPr>
    </w:p>
    <w:p w14:paraId="6A013A25">
      <w:pPr>
        <w:spacing w:line="360" w:lineRule="auto"/>
        <w:rPr>
          <w:rFonts w:hint="eastAsia" w:ascii="宋体" w:hAnsi="宋体" w:cs="宋体"/>
          <w:sz w:val="24"/>
        </w:rPr>
      </w:pPr>
    </w:p>
    <w:p w14:paraId="5FA9E927">
      <w:pPr>
        <w:spacing w:line="360" w:lineRule="auto"/>
        <w:rPr>
          <w:rFonts w:hint="eastAsia" w:ascii="宋体" w:hAnsi="宋体" w:cs="宋体"/>
          <w:sz w:val="24"/>
        </w:rPr>
      </w:pPr>
    </w:p>
    <w:p w14:paraId="6C8C21F0">
      <w:pPr>
        <w:spacing w:line="360" w:lineRule="auto"/>
        <w:rPr>
          <w:rFonts w:hint="eastAsia" w:ascii="宋体" w:hAnsi="宋体" w:cs="宋体"/>
          <w:sz w:val="24"/>
        </w:rPr>
      </w:pPr>
    </w:p>
    <w:p w14:paraId="4BB52BF4">
      <w:pPr>
        <w:spacing w:line="360" w:lineRule="auto"/>
        <w:rPr>
          <w:rFonts w:hint="eastAsia" w:ascii="宋体" w:hAnsi="宋体" w:cs="宋体"/>
          <w:sz w:val="24"/>
        </w:rPr>
      </w:pPr>
    </w:p>
    <w:p w14:paraId="73653CE1">
      <w:pPr>
        <w:spacing w:line="360" w:lineRule="auto"/>
        <w:rPr>
          <w:rFonts w:hint="eastAsia" w:ascii="宋体" w:hAnsi="宋体" w:cs="宋体"/>
          <w:sz w:val="24"/>
        </w:rPr>
      </w:pPr>
    </w:p>
    <w:p w14:paraId="64D5E8E4">
      <w:pPr>
        <w:spacing w:line="360" w:lineRule="auto"/>
        <w:rPr>
          <w:rFonts w:hint="eastAsia" w:ascii="宋体" w:hAnsi="宋体" w:cs="宋体"/>
          <w:sz w:val="24"/>
        </w:rPr>
      </w:pPr>
    </w:p>
    <w:p w14:paraId="3B66EE74">
      <w:pPr>
        <w:spacing w:line="360" w:lineRule="auto"/>
        <w:rPr>
          <w:rFonts w:hint="eastAsia" w:ascii="宋体" w:hAnsi="宋体" w:cs="宋体"/>
          <w:sz w:val="24"/>
        </w:rPr>
      </w:pPr>
    </w:p>
    <w:p w14:paraId="6E3C3278">
      <w:pPr>
        <w:spacing w:line="360" w:lineRule="auto"/>
        <w:rPr>
          <w:rFonts w:hint="eastAsia" w:ascii="宋体" w:hAnsi="宋体" w:cs="宋体"/>
          <w:sz w:val="24"/>
        </w:rPr>
      </w:pPr>
    </w:p>
    <w:p w14:paraId="15759489">
      <w:pPr>
        <w:spacing w:line="360" w:lineRule="auto"/>
        <w:rPr>
          <w:rFonts w:hint="eastAsia" w:ascii="宋体" w:hAnsi="宋体" w:cs="宋体"/>
          <w:sz w:val="24"/>
        </w:rPr>
      </w:pPr>
    </w:p>
    <w:p w14:paraId="6ECCF58F">
      <w:pPr>
        <w:spacing w:line="360" w:lineRule="auto"/>
        <w:rPr>
          <w:rFonts w:hint="eastAsia" w:ascii="宋体" w:hAnsi="宋体" w:cs="宋体"/>
          <w:sz w:val="24"/>
        </w:rPr>
      </w:pPr>
    </w:p>
    <w:p w14:paraId="46033E0C">
      <w:pPr>
        <w:spacing w:line="360" w:lineRule="auto"/>
        <w:rPr>
          <w:rFonts w:hint="eastAsia" w:ascii="宋体" w:hAnsi="宋体" w:cs="宋体"/>
          <w:sz w:val="24"/>
        </w:rPr>
      </w:pPr>
    </w:p>
    <w:p w14:paraId="280DBD4C">
      <w:pPr>
        <w:spacing w:line="360" w:lineRule="auto"/>
        <w:rPr>
          <w:rFonts w:hint="eastAsia" w:ascii="宋体" w:hAnsi="宋体" w:cs="宋体"/>
          <w:sz w:val="24"/>
        </w:rPr>
      </w:pPr>
    </w:p>
    <w:p w14:paraId="57B6F46A">
      <w:pPr>
        <w:spacing w:line="360" w:lineRule="auto"/>
        <w:rPr>
          <w:rFonts w:hint="eastAsia" w:ascii="宋体" w:hAnsi="宋体" w:cs="宋体"/>
          <w:sz w:val="24"/>
        </w:rPr>
      </w:pPr>
    </w:p>
    <w:p w14:paraId="082C05FC">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5"/>
        <w:ind w:firstLine="0" w:firstLineChars="0"/>
        <w:rPr>
          <w:rFonts w:ascii="宋体" w:hAnsi="宋体" w:cs="宋体"/>
          <w:b/>
          <w:sz w:val="24"/>
        </w:rPr>
      </w:pPr>
    </w:p>
    <w:p w14:paraId="1D7F5090">
      <w:pPr>
        <w:spacing w:line="360" w:lineRule="auto"/>
        <w:rPr>
          <w:rFonts w:ascii="宋体" w:hAnsi="宋体" w:cs="宋体"/>
          <w:b/>
          <w:bCs/>
          <w:sz w:val="24"/>
        </w:rPr>
      </w:pPr>
    </w:p>
    <w:p w14:paraId="38426799">
      <w:pPr>
        <w:pStyle w:val="35"/>
        <w:ind w:firstLine="0" w:firstLineChars="0"/>
        <w:rPr>
          <w:rFonts w:ascii="宋体" w:hAnsi="宋体" w:cs="宋体"/>
          <w:b/>
          <w:sz w:val="24"/>
        </w:rPr>
      </w:pPr>
    </w:p>
    <w:p w14:paraId="08B1241F">
      <w:pPr>
        <w:pStyle w:val="35"/>
        <w:ind w:firstLine="241"/>
        <w:rPr>
          <w:rFonts w:ascii="宋体" w:hAnsi="宋体" w:cs="宋体"/>
          <w:b/>
          <w:sz w:val="24"/>
        </w:rPr>
      </w:pPr>
    </w:p>
    <w:p w14:paraId="0EC35CEE">
      <w:pPr>
        <w:pStyle w:val="35"/>
        <w:ind w:firstLine="241"/>
        <w:rPr>
          <w:rFonts w:ascii="宋体" w:hAnsi="宋体" w:cs="宋体"/>
          <w:b/>
          <w:sz w:val="24"/>
        </w:rPr>
      </w:pPr>
    </w:p>
    <w:p w14:paraId="77D0DB9E">
      <w:pPr>
        <w:pStyle w:val="35"/>
        <w:ind w:firstLine="241"/>
        <w:rPr>
          <w:rFonts w:ascii="宋体" w:hAnsi="宋体" w:cs="宋体"/>
          <w:b/>
          <w:sz w:val="24"/>
        </w:rPr>
      </w:pPr>
    </w:p>
    <w:p w14:paraId="22862F57">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rPr>
          <w:rFonts w:ascii="宋体" w:hAnsi="宋体" w:cs="宋体"/>
          <w:sz w:val="30"/>
          <w:szCs w:val="30"/>
        </w:rPr>
      </w:pPr>
    </w:p>
    <w:p w14:paraId="7619C92B">
      <w:pPr>
        <w:pStyle w:val="79"/>
        <w:spacing w:beforeLines="0" w:afterLines="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657B65B2">
      <w:pPr>
        <w:pStyle w:val="79"/>
        <w:spacing w:beforeLines="0" w:afterLines="0" w:line="440" w:lineRule="exact"/>
        <w:ind w:left="0"/>
        <w:jc w:val="center"/>
        <w:rPr>
          <w:rFonts w:hint="eastAsia" w:ascii="宋体" w:hAnsi="宋体" w:cs="宋体"/>
          <w:sz w:val="32"/>
          <w:szCs w:val="32"/>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bidi w:val="0"/>
      </w:pPr>
    </w:p>
    <w:p w14:paraId="0EDA750E">
      <w:pPr>
        <w:bidi w:val="0"/>
        <w:rPr>
          <w:rFonts w:hint="eastAsia"/>
        </w:rPr>
      </w:pPr>
    </w:p>
    <w:p w14:paraId="09BA9442">
      <w:pPr>
        <w:bidi w:val="0"/>
        <w:rPr>
          <w:rFonts w:hint="eastAsia"/>
        </w:rPr>
      </w:pPr>
    </w:p>
    <w:p w14:paraId="77CA4ECE">
      <w:pPr>
        <w:rPr>
          <w:rFonts w:hint="eastAsia" w:ascii="宋体" w:hAnsi="宋体" w:cs="宋体"/>
          <w:sz w:val="44"/>
          <w:szCs w:val="44"/>
        </w:rPr>
      </w:pPr>
      <w:r>
        <w:rPr>
          <w:rFonts w:hint="eastAsia" w:ascii="宋体" w:hAnsi="宋体" w:cs="宋体"/>
          <w:sz w:val="44"/>
          <w:szCs w:val="44"/>
        </w:rPr>
        <w:br w:type="page"/>
      </w:r>
    </w:p>
    <w:p w14:paraId="79F16521">
      <w:pPr>
        <w:pStyle w:val="3"/>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w:t>
      </w:r>
      <w:r>
        <w:rPr>
          <w:rFonts w:hint="eastAsia" w:ascii="宋体" w:hAnsi="宋体" w:cs="宋体"/>
          <w:szCs w:val="27"/>
          <w:lang w:val="en-US" w:eastAsia="zh-CN"/>
        </w:rPr>
        <w:t>国政府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9"/>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9"/>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lang w:eastAsia="zh-CN"/>
        </w:rPr>
        <w:t>，</w:t>
      </w:r>
      <w:r>
        <w:rPr>
          <w:rFonts w:hint="eastAsia" w:ascii="宋体" w:hAnsi="宋体" w:cs="宋体"/>
          <w:lang w:val="en-US" w:eastAsia="zh-CN"/>
        </w:rPr>
        <w:t>应在响</w:t>
      </w:r>
      <w:r>
        <w:rPr>
          <w:rFonts w:hint="eastAsia" w:ascii="宋体" w:hAnsi="宋体" w:cs="宋体"/>
          <w:sz w:val="2"/>
          <w:szCs w:val="2"/>
          <w:vertAlign w:val="superscript"/>
          <w:lang w:val="en-US" w:eastAsia="zh-CN"/>
        </w:rPr>
        <w:t xml:space="preserve">  </w:t>
      </w:r>
      <w:r>
        <w:rPr>
          <w:rFonts w:hint="eastAsia" w:ascii="宋体" w:hAnsi="宋体" w:cs="宋体"/>
          <w:lang w:val="en-US" w:eastAsia="zh-CN"/>
        </w:rPr>
        <w:t>应文件中承</w:t>
      </w:r>
      <w:r>
        <w:rPr>
          <w:rFonts w:hint="eastAsia" w:ascii="宋体" w:hAnsi="宋体" w:cs="宋体"/>
          <w:sz w:val="2"/>
          <w:szCs w:val="2"/>
          <w:vertAlign w:val="superscript"/>
          <w:lang w:val="en-US" w:eastAsia="zh-CN"/>
        </w:rPr>
        <w:t xml:space="preserve">  </w:t>
      </w:r>
      <w:r>
        <w:rPr>
          <w:rFonts w:hint="eastAsia" w:ascii="宋体" w:hAnsi="宋体" w:cs="宋体"/>
          <w:lang w:val="en-US" w:eastAsia="zh-CN"/>
        </w:rPr>
        <w:t>诺，否则视为不响</w:t>
      </w:r>
      <w:r>
        <w:rPr>
          <w:rFonts w:hint="eastAsia" w:ascii="宋体" w:hAnsi="宋体" w:cs="宋体"/>
          <w:sz w:val="2"/>
          <w:szCs w:val="2"/>
          <w:vertAlign w:val="superscript"/>
          <w:lang w:val="en-US" w:eastAsia="zh-CN"/>
        </w:rPr>
        <w:t xml:space="preserve">  </w:t>
      </w:r>
      <w:r>
        <w:rPr>
          <w:rFonts w:hint="eastAsia" w:ascii="宋体" w:hAnsi="宋体" w:cs="宋体"/>
          <w:lang w:val="en-US" w:eastAsia="zh-CN"/>
        </w:rPr>
        <w:t>应</w:t>
      </w:r>
      <w:r>
        <w:rPr>
          <w:rFonts w:hint="eastAsia" w:ascii="宋体" w:hAnsi="宋体" w:cs="宋体"/>
        </w:rPr>
        <w:t>。</w:t>
      </w:r>
    </w:p>
    <w:p w14:paraId="1D144F36">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5"/>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5"/>
        <w:ind w:firstLine="321"/>
        <w:jc w:val="center"/>
        <w:rPr>
          <w:b/>
          <w:sz w:val="32"/>
          <w:szCs w:val="32"/>
        </w:rPr>
      </w:pPr>
    </w:p>
    <w:p w14:paraId="423317DA">
      <w:pPr>
        <w:pStyle w:val="35"/>
        <w:ind w:firstLine="321"/>
        <w:jc w:val="center"/>
        <w:rPr>
          <w:b/>
          <w:sz w:val="32"/>
          <w:szCs w:val="32"/>
        </w:rPr>
      </w:pPr>
    </w:p>
    <w:p w14:paraId="3D26CE6D">
      <w:pPr>
        <w:pStyle w:val="35"/>
        <w:ind w:firstLine="321"/>
        <w:jc w:val="center"/>
        <w:rPr>
          <w:b/>
          <w:sz w:val="32"/>
          <w:szCs w:val="32"/>
        </w:rPr>
      </w:pPr>
    </w:p>
    <w:p w14:paraId="14CA0956">
      <w:pPr>
        <w:pStyle w:val="35"/>
        <w:ind w:firstLine="321"/>
        <w:jc w:val="center"/>
        <w:rPr>
          <w:b/>
          <w:sz w:val="32"/>
          <w:szCs w:val="32"/>
        </w:rPr>
      </w:pPr>
    </w:p>
    <w:p w14:paraId="25D4E4A3">
      <w:pPr>
        <w:pStyle w:val="35"/>
        <w:ind w:firstLine="321"/>
        <w:jc w:val="center"/>
        <w:rPr>
          <w:b/>
          <w:sz w:val="32"/>
          <w:szCs w:val="32"/>
        </w:rPr>
      </w:pPr>
      <w:r>
        <w:rPr>
          <w:rFonts w:hint="eastAsia"/>
          <w:b/>
          <w:sz w:val="32"/>
          <w:szCs w:val="32"/>
        </w:rPr>
        <w:t>周口市政府采购合同融资政策告知函</w:t>
      </w:r>
    </w:p>
    <w:p w14:paraId="7354041F">
      <w:pPr>
        <w:pStyle w:val="35"/>
        <w:ind w:firstLine="240"/>
        <w:rPr>
          <w:rFonts w:asciiTheme="minorEastAsia" w:hAnsiTheme="minorEastAsia" w:eastAsiaTheme="minorEastAsia"/>
          <w:sz w:val="24"/>
        </w:rPr>
      </w:pPr>
    </w:p>
    <w:p w14:paraId="792F2154">
      <w:pPr>
        <w:pStyle w:val="35"/>
        <w:ind w:firstLine="240"/>
        <w:rPr>
          <w:rFonts w:asciiTheme="minorEastAsia" w:hAnsiTheme="minorEastAsia" w:eastAsiaTheme="minorEastAsia"/>
          <w:sz w:val="24"/>
        </w:rPr>
      </w:pPr>
    </w:p>
    <w:p w14:paraId="201E8E53">
      <w:pPr>
        <w:pStyle w:val="35"/>
        <w:ind w:firstLine="240"/>
        <w:rPr>
          <w:rFonts w:asciiTheme="minorEastAsia" w:hAnsiTheme="minorEastAsia" w:eastAsiaTheme="minorEastAsia"/>
          <w:sz w:val="24"/>
        </w:rPr>
      </w:pPr>
    </w:p>
    <w:p w14:paraId="4F46D4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4A620523">
      <w:pPr>
        <w:pStyle w:val="25"/>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iMjJkNDgwMmU3N2Q0M2IxYzVlNWM3NjFmOTNkO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194D2F"/>
    <w:rsid w:val="0BEB3B44"/>
    <w:rsid w:val="0C0644C0"/>
    <w:rsid w:val="10D62AA4"/>
    <w:rsid w:val="131502AF"/>
    <w:rsid w:val="13552B79"/>
    <w:rsid w:val="13793DF7"/>
    <w:rsid w:val="141C4A83"/>
    <w:rsid w:val="14354A58"/>
    <w:rsid w:val="14677422"/>
    <w:rsid w:val="152E6B10"/>
    <w:rsid w:val="15BF1042"/>
    <w:rsid w:val="1656732A"/>
    <w:rsid w:val="168066B9"/>
    <w:rsid w:val="181939B9"/>
    <w:rsid w:val="18D74DC1"/>
    <w:rsid w:val="1AED58EF"/>
    <w:rsid w:val="1DF1524F"/>
    <w:rsid w:val="1F397F3B"/>
    <w:rsid w:val="1F3A0BB5"/>
    <w:rsid w:val="1FA92FCB"/>
    <w:rsid w:val="20193BC8"/>
    <w:rsid w:val="20E05897"/>
    <w:rsid w:val="220D398C"/>
    <w:rsid w:val="22704ED7"/>
    <w:rsid w:val="2301566F"/>
    <w:rsid w:val="24165293"/>
    <w:rsid w:val="2482721D"/>
    <w:rsid w:val="24A10BF5"/>
    <w:rsid w:val="24D70B68"/>
    <w:rsid w:val="24FE0DD1"/>
    <w:rsid w:val="25BE0B79"/>
    <w:rsid w:val="26AB07CC"/>
    <w:rsid w:val="273C7289"/>
    <w:rsid w:val="27EA7C2E"/>
    <w:rsid w:val="287B63A6"/>
    <w:rsid w:val="28F36961"/>
    <w:rsid w:val="29613C02"/>
    <w:rsid w:val="299873AD"/>
    <w:rsid w:val="29D111BF"/>
    <w:rsid w:val="2A397C18"/>
    <w:rsid w:val="2A5015D5"/>
    <w:rsid w:val="2AF63392"/>
    <w:rsid w:val="2BA67492"/>
    <w:rsid w:val="2C66791C"/>
    <w:rsid w:val="2D221D01"/>
    <w:rsid w:val="2D676A80"/>
    <w:rsid w:val="2D7A3266"/>
    <w:rsid w:val="2E6C5FAB"/>
    <w:rsid w:val="2F5F2B72"/>
    <w:rsid w:val="312513B2"/>
    <w:rsid w:val="31B042BF"/>
    <w:rsid w:val="31F12401"/>
    <w:rsid w:val="31FF5F72"/>
    <w:rsid w:val="32035D60"/>
    <w:rsid w:val="326E6953"/>
    <w:rsid w:val="33523A32"/>
    <w:rsid w:val="34B524C1"/>
    <w:rsid w:val="36D23A94"/>
    <w:rsid w:val="376940D0"/>
    <w:rsid w:val="38204506"/>
    <w:rsid w:val="39321D68"/>
    <w:rsid w:val="3A2B6063"/>
    <w:rsid w:val="3AE257DB"/>
    <w:rsid w:val="3BAE6CD9"/>
    <w:rsid w:val="3C3000ED"/>
    <w:rsid w:val="3D232399"/>
    <w:rsid w:val="3D2E2D19"/>
    <w:rsid w:val="3D31181A"/>
    <w:rsid w:val="3DC87CB2"/>
    <w:rsid w:val="3F1749BD"/>
    <w:rsid w:val="3F4F365B"/>
    <w:rsid w:val="3F9A5B70"/>
    <w:rsid w:val="3FD666C9"/>
    <w:rsid w:val="41093759"/>
    <w:rsid w:val="41380196"/>
    <w:rsid w:val="41415EFF"/>
    <w:rsid w:val="41D026B4"/>
    <w:rsid w:val="452567EA"/>
    <w:rsid w:val="46886BA6"/>
    <w:rsid w:val="48524AAD"/>
    <w:rsid w:val="490552AA"/>
    <w:rsid w:val="497D4D18"/>
    <w:rsid w:val="4B7A4CDC"/>
    <w:rsid w:val="4C9C07CA"/>
    <w:rsid w:val="4FFA680C"/>
    <w:rsid w:val="50981A4B"/>
    <w:rsid w:val="50DC24A9"/>
    <w:rsid w:val="52390069"/>
    <w:rsid w:val="5253645C"/>
    <w:rsid w:val="528D1696"/>
    <w:rsid w:val="52CB2821"/>
    <w:rsid w:val="542F765C"/>
    <w:rsid w:val="54914939"/>
    <w:rsid w:val="54A02A49"/>
    <w:rsid w:val="54EB5EC1"/>
    <w:rsid w:val="554D13F6"/>
    <w:rsid w:val="55880E70"/>
    <w:rsid w:val="57580486"/>
    <w:rsid w:val="59DA41E0"/>
    <w:rsid w:val="5A2424B3"/>
    <w:rsid w:val="5A3906A0"/>
    <w:rsid w:val="5A9919E3"/>
    <w:rsid w:val="5B2A7B0A"/>
    <w:rsid w:val="5B417B6B"/>
    <w:rsid w:val="5B54373E"/>
    <w:rsid w:val="5BC745F2"/>
    <w:rsid w:val="5C0B38A0"/>
    <w:rsid w:val="5C8D39B1"/>
    <w:rsid w:val="5CA161B2"/>
    <w:rsid w:val="5EE21916"/>
    <w:rsid w:val="5F4417E0"/>
    <w:rsid w:val="5F88669E"/>
    <w:rsid w:val="622F04A1"/>
    <w:rsid w:val="62707B3A"/>
    <w:rsid w:val="62E16835"/>
    <w:rsid w:val="645C0879"/>
    <w:rsid w:val="64741C1C"/>
    <w:rsid w:val="648C064A"/>
    <w:rsid w:val="656B3097"/>
    <w:rsid w:val="65EB67A7"/>
    <w:rsid w:val="66AB4942"/>
    <w:rsid w:val="687951D6"/>
    <w:rsid w:val="68AB69AF"/>
    <w:rsid w:val="68D653C8"/>
    <w:rsid w:val="68D85250"/>
    <w:rsid w:val="698D4180"/>
    <w:rsid w:val="6AC36259"/>
    <w:rsid w:val="6D1F0B58"/>
    <w:rsid w:val="6D3654A5"/>
    <w:rsid w:val="6D746C3A"/>
    <w:rsid w:val="6EB24C26"/>
    <w:rsid w:val="74170E85"/>
    <w:rsid w:val="75DC35E9"/>
    <w:rsid w:val="77FA11D3"/>
    <w:rsid w:val="789E6834"/>
    <w:rsid w:val="79DD67E6"/>
    <w:rsid w:val="7BCF79D9"/>
    <w:rsid w:val="7C1A4C7A"/>
    <w:rsid w:val="7C2A2BEC"/>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qFormat/>
    <w:uiPriority w:val="99"/>
    <w:pPr>
      <w:tabs>
        <w:tab w:val="left" w:pos="0"/>
        <w:tab w:val="left" w:pos="993"/>
        <w:tab w:val="left" w:pos="1134"/>
      </w:tabs>
      <w:ind w:firstLine="420"/>
    </w:pPr>
  </w:style>
  <w:style w:type="paragraph" w:styleId="13">
    <w:name w:val="Date"/>
    <w:basedOn w:val="1"/>
    <w:next w:val="1"/>
    <w:link w:val="47"/>
    <w:qFormat/>
    <w:uiPriority w:val="0"/>
    <w:pPr>
      <w:ind w:left="100" w:leftChars="2500"/>
    </w:p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next w:val="12"/>
    <w:link w:val="42"/>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6"/>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3"/>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3"/>
    <w:qFormat/>
    <w:uiPriority w:val="0"/>
    <w:rPr>
      <w:kern w:val="2"/>
      <w:sz w:val="21"/>
      <w:szCs w:val="24"/>
    </w:rPr>
  </w:style>
  <w:style w:type="character" w:customStyle="1" w:styleId="66">
    <w:name w:val="NormalCharacter"/>
    <w:qFormat/>
    <w:uiPriority w:val="0"/>
  </w:style>
  <w:style w:type="character" w:customStyle="1" w:styleId="67">
    <w:name w:val="页眉 字符"/>
    <w:link w:val="20"/>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14495</Words>
  <Characters>15464</Characters>
  <Lines>146</Lines>
  <Paragraphs>41</Paragraphs>
  <TotalTime>10</TotalTime>
  <ScaleCrop>false</ScaleCrop>
  <LinksUpToDate>false</LinksUpToDate>
  <CharactersWithSpaces>15943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Administrator</dc:creator>
  <cp:lastModifiedBy>王园园</cp:lastModifiedBy>
  <cp:lastPrinted>2020-11-18T03:21:00Z</cp:lastPrinted>
  <dcterms:modified xsi:type="dcterms:W3CDTF">2026-05-19T08:34:27Z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5835276A377E409389E04B3C4BE1EA08_13</vt:lpwstr>
  </property>
  <property fmtid="{D5CDD505-2E9C-101B-9397-08002B2CF9AE}" pid="4" name="KSOTemplateDocerSaveRecord">
    <vt:lpwstr>eyJoZGlkIjoiYzQ0NTY5NWM5NDAxMmUwZmJmM2QyOGM1OGJlNmJiM2MiLCJ1c2VySWQiOiI0OTk5NTUxNDkifQ==</vt:lpwstr>
  </property>
</Properties>
</file>